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53B7" w14:textId="42B32CDF" w:rsidR="00B33585" w:rsidRDefault="00B33585" w:rsidP="00760F92">
      <w:pPr>
        <w:jc w:val="center"/>
        <w:rPr>
          <w:b/>
          <w:szCs w:val="24"/>
        </w:rPr>
      </w:pPr>
      <w:r w:rsidRPr="009D27A9">
        <w:rPr>
          <w:b/>
          <w:szCs w:val="24"/>
        </w:rPr>
        <w:t>Global Welfare States</w:t>
      </w:r>
    </w:p>
    <w:p w14:paraId="53185E8C" w14:textId="03D4D685" w:rsidR="00036776" w:rsidRDefault="00036776" w:rsidP="00760F92">
      <w:pPr>
        <w:jc w:val="center"/>
        <w:rPr>
          <w:b/>
          <w:szCs w:val="24"/>
        </w:rPr>
      </w:pPr>
      <w:r>
        <w:rPr>
          <w:b/>
          <w:szCs w:val="24"/>
        </w:rPr>
        <w:t>Political Science 9786G</w:t>
      </w:r>
    </w:p>
    <w:p w14:paraId="127863B5" w14:textId="1A24DAE0" w:rsidR="005F7C35" w:rsidRPr="009D27A9" w:rsidRDefault="00F42733" w:rsidP="00760F92">
      <w:pPr>
        <w:jc w:val="center"/>
        <w:rPr>
          <w:b/>
          <w:szCs w:val="24"/>
        </w:rPr>
      </w:pPr>
      <w:r>
        <w:rPr>
          <w:b/>
          <w:szCs w:val="24"/>
        </w:rPr>
        <w:t xml:space="preserve">Winter </w:t>
      </w:r>
      <w:r w:rsidR="00836F1F">
        <w:rPr>
          <w:b/>
          <w:szCs w:val="24"/>
        </w:rPr>
        <w:t xml:space="preserve">Term </w:t>
      </w:r>
      <w:r>
        <w:rPr>
          <w:b/>
          <w:szCs w:val="24"/>
        </w:rPr>
        <w:t>2024</w:t>
      </w:r>
    </w:p>
    <w:p w14:paraId="234D8AA6" w14:textId="77777777" w:rsidR="00B33585" w:rsidRPr="009D27A9" w:rsidRDefault="00B33585" w:rsidP="00B33585">
      <w:pPr>
        <w:rPr>
          <w:szCs w:val="24"/>
        </w:rPr>
      </w:pPr>
    </w:p>
    <w:p w14:paraId="70CCB6C0" w14:textId="7E1E4D37" w:rsidR="00B33585" w:rsidRPr="009D27A9" w:rsidRDefault="00C21C12" w:rsidP="00B33585">
      <w:pPr>
        <w:rPr>
          <w:szCs w:val="24"/>
        </w:rPr>
      </w:pPr>
      <w:r>
        <w:rPr>
          <w:szCs w:val="24"/>
        </w:rPr>
        <w:t xml:space="preserve">Dr. </w:t>
      </w:r>
      <w:r w:rsidR="00B33585" w:rsidRPr="009D27A9">
        <w:rPr>
          <w:szCs w:val="24"/>
        </w:rPr>
        <w:t>Bruce Morrison</w:t>
      </w:r>
    </w:p>
    <w:p w14:paraId="3B082DC7" w14:textId="0093CB98" w:rsidR="00862131" w:rsidRDefault="00862131" w:rsidP="00B33585">
      <w:pPr>
        <w:rPr>
          <w:szCs w:val="24"/>
        </w:rPr>
      </w:pPr>
      <w:r>
        <w:rPr>
          <w:szCs w:val="24"/>
        </w:rPr>
        <w:t xml:space="preserve">Office: </w:t>
      </w:r>
      <w:r w:rsidR="00B33585" w:rsidRPr="009D27A9">
        <w:rPr>
          <w:szCs w:val="24"/>
        </w:rPr>
        <w:t xml:space="preserve">SSC </w:t>
      </w:r>
      <w:r w:rsidR="00C21C12">
        <w:rPr>
          <w:szCs w:val="24"/>
        </w:rPr>
        <w:t>7225</w:t>
      </w:r>
    </w:p>
    <w:p w14:paraId="13DBCB3C" w14:textId="77777777" w:rsidR="00C21E6C" w:rsidRDefault="00862131" w:rsidP="00B33585">
      <w:pPr>
        <w:rPr>
          <w:szCs w:val="24"/>
        </w:rPr>
      </w:pPr>
      <w:r>
        <w:rPr>
          <w:szCs w:val="24"/>
        </w:rPr>
        <w:t>Phone</w:t>
      </w:r>
      <w:r w:rsidR="00B33585" w:rsidRPr="009D27A9">
        <w:rPr>
          <w:szCs w:val="24"/>
        </w:rPr>
        <w:t>;</w:t>
      </w:r>
      <w:r>
        <w:rPr>
          <w:szCs w:val="24"/>
        </w:rPr>
        <w:t xml:space="preserve"> (519) 661-2111</w:t>
      </w:r>
      <w:r w:rsidR="00B33585" w:rsidRPr="009D27A9">
        <w:rPr>
          <w:szCs w:val="24"/>
        </w:rPr>
        <w:t xml:space="preserve"> </w:t>
      </w:r>
      <w:r>
        <w:rPr>
          <w:szCs w:val="24"/>
        </w:rPr>
        <w:t>e</w:t>
      </w:r>
      <w:r w:rsidR="00B33585" w:rsidRPr="009D27A9">
        <w:rPr>
          <w:szCs w:val="24"/>
        </w:rPr>
        <w:t>x</w:t>
      </w:r>
      <w:r>
        <w:rPr>
          <w:szCs w:val="24"/>
        </w:rPr>
        <w:t xml:space="preserve">t. </w:t>
      </w:r>
      <w:r w:rsidR="00B33585" w:rsidRPr="009D27A9">
        <w:rPr>
          <w:szCs w:val="24"/>
        </w:rPr>
        <w:t>84937</w:t>
      </w:r>
    </w:p>
    <w:p w14:paraId="788BE9A5" w14:textId="22E16C3F" w:rsidR="00B33585" w:rsidRPr="009D27A9" w:rsidRDefault="00C21E6C" w:rsidP="00B33585">
      <w:pPr>
        <w:rPr>
          <w:szCs w:val="24"/>
        </w:rPr>
      </w:pPr>
      <w:r>
        <w:rPr>
          <w:szCs w:val="24"/>
        </w:rPr>
        <w:t>Email:</w:t>
      </w:r>
      <w:r w:rsidR="003C48F3">
        <w:rPr>
          <w:szCs w:val="24"/>
        </w:rPr>
        <w:t xml:space="preserve"> </w:t>
      </w:r>
      <w:hyperlink r:id="rId5" w:history="1">
        <w:r w:rsidR="00B33585" w:rsidRPr="009D27A9">
          <w:rPr>
            <w:rStyle w:val="Hyperlink"/>
            <w:szCs w:val="24"/>
          </w:rPr>
          <w:t>bmorris2@uwo.ca</w:t>
        </w:r>
      </w:hyperlink>
    </w:p>
    <w:p w14:paraId="2A8F4F8F" w14:textId="29A20949" w:rsidR="00B33585" w:rsidRPr="009D27A9" w:rsidRDefault="00B33585" w:rsidP="00B33585">
      <w:pPr>
        <w:rPr>
          <w:szCs w:val="24"/>
        </w:rPr>
      </w:pPr>
      <w:r w:rsidRPr="009D27A9">
        <w:rPr>
          <w:szCs w:val="24"/>
        </w:rPr>
        <w:t xml:space="preserve">Office hours: </w:t>
      </w:r>
      <w:r w:rsidR="00CC79F2">
        <w:rPr>
          <w:szCs w:val="24"/>
        </w:rPr>
        <w:t>T</w:t>
      </w:r>
      <w:r w:rsidR="00C21C12">
        <w:rPr>
          <w:szCs w:val="24"/>
        </w:rPr>
        <w:t xml:space="preserve">hursday </w:t>
      </w:r>
      <w:r w:rsidR="00F42733">
        <w:rPr>
          <w:szCs w:val="24"/>
        </w:rPr>
        <w:t>4-5:30</w:t>
      </w:r>
      <w:r w:rsidR="00C21C12">
        <w:rPr>
          <w:szCs w:val="24"/>
        </w:rPr>
        <w:t xml:space="preserve">, </w:t>
      </w:r>
      <w:r w:rsidR="00CC79F2">
        <w:rPr>
          <w:szCs w:val="24"/>
        </w:rPr>
        <w:t>or by appointment</w:t>
      </w:r>
    </w:p>
    <w:p w14:paraId="56EBFB16" w14:textId="77777777" w:rsidR="00B33585" w:rsidRPr="009D27A9" w:rsidRDefault="00B33585" w:rsidP="00B33585">
      <w:pPr>
        <w:rPr>
          <w:szCs w:val="24"/>
        </w:rPr>
      </w:pPr>
      <w:r w:rsidRPr="009D27A9">
        <w:rPr>
          <w:szCs w:val="24"/>
        </w:rPr>
        <w:t xml:space="preserve"> </w:t>
      </w:r>
    </w:p>
    <w:p w14:paraId="360C688A" w14:textId="78B942C9" w:rsidR="00B33585" w:rsidRPr="009D27A9" w:rsidRDefault="00B33585" w:rsidP="00B33585">
      <w:pPr>
        <w:rPr>
          <w:szCs w:val="24"/>
        </w:rPr>
      </w:pPr>
      <w:r w:rsidRPr="009D27A9">
        <w:rPr>
          <w:b/>
          <w:szCs w:val="24"/>
        </w:rPr>
        <w:t>Course Description</w:t>
      </w:r>
    </w:p>
    <w:p w14:paraId="15133F0A" w14:textId="77777777" w:rsidR="00B33585" w:rsidRPr="009D27A9" w:rsidRDefault="00B33585" w:rsidP="00B33585">
      <w:pPr>
        <w:rPr>
          <w:szCs w:val="24"/>
        </w:rPr>
      </w:pPr>
    </w:p>
    <w:p w14:paraId="1E66325C" w14:textId="77777777" w:rsidR="00FE4864" w:rsidRDefault="00B33585" w:rsidP="00B33585">
      <w:pPr>
        <w:rPr>
          <w:szCs w:val="24"/>
        </w:rPr>
      </w:pPr>
      <w:r w:rsidRPr="009D27A9">
        <w:rPr>
          <w:szCs w:val="24"/>
        </w:rPr>
        <w:t xml:space="preserve">As is perhaps to be expected in the case of a complex political phenomenon subjected to intense politicization, the welfare state has been variously interpreted. It is certainly true that the conditions that supported the </w:t>
      </w:r>
      <w:r w:rsidR="002958EE">
        <w:rPr>
          <w:szCs w:val="24"/>
        </w:rPr>
        <w:t xml:space="preserve">western </w:t>
      </w:r>
      <w:r w:rsidRPr="009D27A9">
        <w:rPr>
          <w:szCs w:val="24"/>
        </w:rPr>
        <w:t xml:space="preserve">welfare state in earlier decades have weakened, if not dissolved, but the meaning of this remains far from clear. As we will see, the welfare state was always plural, deriving from </w:t>
      </w:r>
      <w:proofErr w:type="gramStart"/>
      <w:r w:rsidRPr="009D27A9">
        <w:rPr>
          <w:szCs w:val="24"/>
        </w:rPr>
        <w:t>a number of</w:t>
      </w:r>
      <w:proofErr w:type="gramEnd"/>
      <w:r w:rsidRPr="009D27A9">
        <w:rPr>
          <w:szCs w:val="24"/>
        </w:rPr>
        <w:t xml:space="preserve"> different economic, social, ideological, and institutional sources, and assuming qualitatively different forms in different contexts. There are at least three </w:t>
      </w:r>
      <w:proofErr w:type="gramStart"/>
      <w:r w:rsidRPr="009D27A9">
        <w:rPr>
          <w:szCs w:val="24"/>
        </w:rPr>
        <w:t>welfare</w:t>
      </w:r>
      <w:proofErr w:type="gramEnd"/>
      <w:r w:rsidRPr="009D27A9">
        <w:rPr>
          <w:szCs w:val="24"/>
        </w:rPr>
        <w:t xml:space="preserve"> ‘worlds’ or regimes rather than just one welfare state. Arguably, this number has grown as many </w:t>
      </w:r>
      <w:proofErr w:type="gramStart"/>
      <w:r w:rsidRPr="009D27A9">
        <w:rPr>
          <w:szCs w:val="24"/>
        </w:rPr>
        <w:t>countries</w:t>
      </w:r>
      <w:proofErr w:type="gramEnd"/>
      <w:r w:rsidRPr="009D27A9">
        <w:rPr>
          <w:szCs w:val="24"/>
        </w:rPr>
        <w:t xml:space="preserve"> from the global South have developed substantial </w:t>
      </w:r>
      <w:r w:rsidR="00FE4864">
        <w:rPr>
          <w:szCs w:val="24"/>
        </w:rPr>
        <w:t>and</w:t>
      </w:r>
      <w:r w:rsidR="00F554B8">
        <w:rPr>
          <w:szCs w:val="24"/>
        </w:rPr>
        <w:t xml:space="preserve"> in some respects </w:t>
      </w:r>
      <w:r w:rsidR="00FE4864">
        <w:rPr>
          <w:szCs w:val="24"/>
        </w:rPr>
        <w:t xml:space="preserve">quite </w:t>
      </w:r>
      <w:r w:rsidR="00F554B8">
        <w:rPr>
          <w:szCs w:val="24"/>
        </w:rPr>
        <w:t xml:space="preserve">different </w:t>
      </w:r>
      <w:r w:rsidRPr="009D27A9">
        <w:rPr>
          <w:szCs w:val="24"/>
        </w:rPr>
        <w:t>welfare states. However, in recent decades</w:t>
      </w:r>
      <w:r w:rsidR="00FE4864">
        <w:rPr>
          <w:szCs w:val="24"/>
        </w:rPr>
        <w:t>,</w:t>
      </w:r>
      <w:r w:rsidRPr="009D27A9">
        <w:rPr>
          <w:szCs w:val="24"/>
        </w:rPr>
        <w:t xml:space="preserve"> demographic change, globalization, </w:t>
      </w:r>
      <w:r w:rsidR="00BF5DC7">
        <w:rPr>
          <w:szCs w:val="24"/>
        </w:rPr>
        <w:t xml:space="preserve">and </w:t>
      </w:r>
      <w:r w:rsidRPr="009D27A9">
        <w:rPr>
          <w:szCs w:val="24"/>
        </w:rPr>
        <w:t xml:space="preserve">post-industrialization, among other developments, have exerted great pressure on </w:t>
      </w:r>
      <w:r w:rsidR="00FE4864">
        <w:rPr>
          <w:szCs w:val="24"/>
        </w:rPr>
        <w:t xml:space="preserve">the global welfare states. </w:t>
      </w:r>
      <w:r w:rsidRPr="009D27A9">
        <w:rPr>
          <w:szCs w:val="24"/>
        </w:rPr>
        <w:t xml:space="preserve">The case that the established welfare state had become unsustainable or, worse, a hindrance to progress, has supported attempts to challenge or retool welfare states in significant ways. </w:t>
      </w:r>
      <w:r w:rsidR="00FE4864">
        <w:rPr>
          <w:szCs w:val="24"/>
        </w:rPr>
        <w:t xml:space="preserve">While this might initially have involved retrenchment, more recently it has involved the redirection of state spending toward measures that stand as investments in a more dynamic and competitive society. Are we seeing signs of global convergence in welfare state development? </w:t>
      </w:r>
      <w:r w:rsidR="00523C1A">
        <w:rPr>
          <w:szCs w:val="24"/>
        </w:rPr>
        <w:t xml:space="preserve">What might this look like? </w:t>
      </w:r>
      <w:r w:rsidR="00FE4864">
        <w:rPr>
          <w:szCs w:val="24"/>
        </w:rPr>
        <w:t xml:space="preserve">Or are different welfare regimes changing in ways that reflect the distinctiveness of their economic, social, and political settings, as well as the legacies of </w:t>
      </w:r>
      <w:r w:rsidR="00BF5DC7">
        <w:rPr>
          <w:szCs w:val="24"/>
        </w:rPr>
        <w:t xml:space="preserve">past </w:t>
      </w:r>
      <w:r w:rsidR="00FE4864">
        <w:rPr>
          <w:szCs w:val="24"/>
        </w:rPr>
        <w:t xml:space="preserve">policies? This seminar will explore these and other questions by devoting particular attention to processes of welfare state formation and reform in Europe, East Asia, and Latin America.  </w:t>
      </w:r>
    </w:p>
    <w:p w14:paraId="51A6B116" w14:textId="77777777" w:rsidR="00FE4864" w:rsidRDefault="00FE4864" w:rsidP="00B33585">
      <w:pPr>
        <w:rPr>
          <w:szCs w:val="24"/>
        </w:rPr>
      </w:pPr>
    </w:p>
    <w:p w14:paraId="02E485A4" w14:textId="1B391A79" w:rsidR="004C2561" w:rsidRDefault="004C2561" w:rsidP="004C2561">
      <w:pPr>
        <w:rPr>
          <w:b/>
          <w:szCs w:val="24"/>
        </w:rPr>
      </w:pPr>
      <w:r>
        <w:rPr>
          <w:b/>
          <w:szCs w:val="24"/>
        </w:rPr>
        <w:t>Course Format</w:t>
      </w:r>
    </w:p>
    <w:p w14:paraId="13E7A698" w14:textId="77777777" w:rsidR="004C2561" w:rsidRDefault="004C2561" w:rsidP="004C2561">
      <w:pPr>
        <w:rPr>
          <w:b/>
          <w:szCs w:val="24"/>
        </w:rPr>
      </w:pPr>
    </w:p>
    <w:p w14:paraId="38EEC9AC" w14:textId="19C2F2CB" w:rsidR="004C2561" w:rsidRDefault="004C2561" w:rsidP="004C2561">
      <w:pPr>
        <w:rPr>
          <w:b/>
          <w:szCs w:val="24"/>
        </w:rPr>
      </w:pPr>
      <w:r>
        <w:rPr>
          <w:bCs/>
          <w:szCs w:val="24"/>
        </w:rPr>
        <w:t xml:space="preserve">This seminar will be conducted </w:t>
      </w:r>
      <w:r w:rsidR="0028208A">
        <w:rPr>
          <w:bCs/>
          <w:szCs w:val="24"/>
        </w:rPr>
        <w:t xml:space="preserve">in person. It will </w:t>
      </w:r>
      <w:r w:rsidR="00F518DD">
        <w:rPr>
          <w:bCs/>
          <w:szCs w:val="24"/>
        </w:rPr>
        <w:t xml:space="preserve">involve respectful discussion of a common set of assigned readings and student presentations. </w:t>
      </w:r>
    </w:p>
    <w:p w14:paraId="3BBB9BA9" w14:textId="77777777" w:rsidR="004C2561" w:rsidRDefault="004C2561" w:rsidP="00B33585">
      <w:pPr>
        <w:rPr>
          <w:b/>
          <w:szCs w:val="24"/>
        </w:rPr>
      </w:pPr>
    </w:p>
    <w:p w14:paraId="274F6382" w14:textId="535912F5" w:rsidR="00B33585" w:rsidRPr="009D27A9" w:rsidRDefault="00B33585" w:rsidP="00B33585">
      <w:pPr>
        <w:rPr>
          <w:b/>
          <w:szCs w:val="24"/>
        </w:rPr>
      </w:pPr>
      <w:r w:rsidRPr="009D27A9">
        <w:rPr>
          <w:b/>
          <w:szCs w:val="24"/>
        </w:rPr>
        <w:t>Learning Outcomes</w:t>
      </w:r>
    </w:p>
    <w:p w14:paraId="2BA94626" w14:textId="77777777" w:rsidR="00B33585" w:rsidRPr="009D27A9" w:rsidRDefault="00B33585" w:rsidP="00B33585">
      <w:pPr>
        <w:rPr>
          <w:szCs w:val="24"/>
        </w:rPr>
      </w:pPr>
    </w:p>
    <w:p w14:paraId="17F4E411" w14:textId="77777777" w:rsidR="00B33585" w:rsidRDefault="00B33585" w:rsidP="00B33585">
      <w:pPr>
        <w:rPr>
          <w:szCs w:val="24"/>
        </w:rPr>
      </w:pPr>
      <w:r w:rsidRPr="009D27A9">
        <w:rPr>
          <w:szCs w:val="24"/>
        </w:rPr>
        <w:t>Participants in this seminar will:</w:t>
      </w:r>
    </w:p>
    <w:p w14:paraId="28DE25DC" w14:textId="66E922EC" w:rsidR="00B33585" w:rsidRPr="009D27A9" w:rsidRDefault="00B33585" w:rsidP="00B33585">
      <w:pPr>
        <w:numPr>
          <w:ilvl w:val="0"/>
          <w:numId w:val="2"/>
        </w:numPr>
        <w:ind w:left="0"/>
        <w:rPr>
          <w:szCs w:val="24"/>
        </w:rPr>
      </w:pPr>
      <w:r w:rsidRPr="009D27A9">
        <w:rPr>
          <w:szCs w:val="24"/>
        </w:rPr>
        <w:t xml:space="preserve">acquire an understanding of the role of the welfare state and the relationship between the welfare state and such key elements of modernity as </w:t>
      </w:r>
      <w:r w:rsidR="002958EE">
        <w:rPr>
          <w:szCs w:val="24"/>
        </w:rPr>
        <w:t xml:space="preserve">economic </w:t>
      </w:r>
      <w:r w:rsidRPr="009D27A9">
        <w:rPr>
          <w:szCs w:val="24"/>
        </w:rPr>
        <w:t xml:space="preserve">development and state </w:t>
      </w:r>
      <w:proofErr w:type="gramStart"/>
      <w:r w:rsidRPr="009D27A9">
        <w:rPr>
          <w:szCs w:val="24"/>
        </w:rPr>
        <w:t>formation</w:t>
      </w:r>
      <w:proofErr w:type="gramEnd"/>
    </w:p>
    <w:p w14:paraId="6D5F3FE9" w14:textId="18ED9506" w:rsidR="00B33585" w:rsidRPr="009D27A9" w:rsidRDefault="00B33585" w:rsidP="00B33585">
      <w:pPr>
        <w:numPr>
          <w:ilvl w:val="0"/>
          <w:numId w:val="2"/>
        </w:numPr>
        <w:ind w:left="0"/>
        <w:rPr>
          <w:szCs w:val="24"/>
        </w:rPr>
      </w:pPr>
      <w:r w:rsidRPr="009D27A9">
        <w:rPr>
          <w:szCs w:val="24"/>
        </w:rPr>
        <w:t>become able to critically assess the case for the existence of three or more welfare regime types rather than a singular welfare state, and explore the applicability of this framework to a significant number of countries</w:t>
      </w:r>
      <w:r w:rsidR="00523C1A">
        <w:rPr>
          <w:szCs w:val="24"/>
        </w:rPr>
        <w:t xml:space="preserve"> across at least three global </w:t>
      </w:r>
      <w:proofErr w:type="gramStart"/>
      <w:r w:rsidR="00523C1A">
        <w:rPr>
          <w:szCs w:val="24"/>
        </w:rPr>
        <w:t>regions</w:t>
      </w:r>
      <w:proofErr w:type="gramEnd"/>
    </w:p>
    <w:p w14:paraId="7A23C96C" w14:textId="6D7AC01F" w:rsidR="00B33585" w:rsidRPr="009D27A9" w:rsidRDefault="00B33585" w:rsidP="00B33585">
      <w:pPr>
        <w:numPr>
          <w:ilvl w:val="0"/>
          <w:numId w:val="2"/>
        </w:numPr>
        <w:ind w:left="0"/>
        <w:rPr>
          <w:szCs w:val="24"/>
        </w:rPr>
      </w:pPr>
      <w:r w:rsidRPr="009D27A9">
        <w:rPr>
          <w:szCs w:val="24"/>
        </w:rPr>
        <w:t xml:space="preserve">develop the ability to relate welfare regime types to their characteristic policy </w:t>
      </w:r>
      <w:proofErr w:type="gramStart"/>
      <w:r w:rsidRPr="009D27A9">
        <w:rPr>
          <w:szCs w:val="24"/>
        </w:rPr>
        <w:t>types</w:t>
      </w:r>
      <w:proofErr w:type="gramEnd"/>
    </w:p>
    <w:p w14:paraId="49F33722" w14:textId="646B54DF" w:rsidR="00B33585" w:rsidRPr="009D27A9" w:rsidRDefault="00B33585" w:rsidP="00B33585">
      <w:pPr>
        <w:numPr>
          <w:ilvl w:val="0"/>
          <w:numId w:val="2"/>
        </w:numPr>
        <w:ind w:left="0"/>
        <w:rPr>
          <w:szCs w:val="24"/>
        </w:rPr>
      </w:pPr>
      <w:r w:rsidRPr="009D27A9">
        <w:rPr>
          <w:szCs w:val="24"/>
        </w:rPr>
        <w:t xml:space="preserve">learn to make sense of and apply the major theories explaining both the emergence and reform of welfare states, and to evaluate the extent to which </w:t>
      </w:r>
      <w:r w:rsidR="00523C1A">
        <w:rPr>
          <w:szCs w:val="24"/>
        </w:rPr>
        <w:t xml:space="preserve">the </w:t>
      </w:r>
      <w:r w:rsidRPr="009D27A9">
        <w:rPr>
          <w:szCs w:val="24"/>
        </w:rPr>
        <w:t xml:space="preserve">retrenchment </w:t>
      </w:r>
      <w:r w:rsidR="00523C1A">
        <w:rPr>
          <w:szCs w:val="24"/>
        </w:rPr>
        <w:t>and/or recasting</w:t>
      </w:r>
      <w:r w:rsidRPr="009D27A9">
        <w:rPr>
          <w:szCs w:val="24"/>
        </w:rPr>
        <w:t xml:space="preserve"> of </w:t>
      </w:r>
      <w:r w:rsidR="00523C1A">
        <w:rPr>
          <w:szCs w:val="24"/>
        </w:rPr>
        <w:t>welfare states</w:t>
      </w:r>
      <w:r w:rsidRPr="009D27A9">
        <w:rPr>
          <w:szCs w:val="24"/>
        </w:rPr>
        <w:t xml:space="preserve"> have occurred and may continue to do so</w:t>
      </w:r>
      <w:r w:rsidR="00F518DD">
        <w:rPr>
          <w:szCs w:val="24"/>
        </w:rPr>
        <w:t>.</w:t>
      </w:r>
    </w:p>
    <w:p w14:paraId="23EEEB24" w14:textId="77777777" w:rsidR="00C21E6C" w:rsidRDefault="00B33585" w:rsidP="00B33585">
      <w:pPr>
        <w:rPr>
          <w:b/>
          <w:szCs w:val="24"/>
        </w:rPr>
      </w:pPr>
      <w:r w:rsidRPr="009D27A9">
        <w:rPr>
          <w:szCs w:val="24"/>
        </w:rPr>
        <w:br/>
      </w:r>
    </w:p>
    <w:p w14:paraId="11E5C7A0" w14:textId="3D027FD5" w:rsidR="00B33585" w:rsidRPr="009D27A9" w:rsidRDefault="00B33585" w:rsidP="00B33585">
      <w:pPr>
        <w:rPr>
          <w:szCs w:val="24"/>
        </w:rPr>
      </w:pPr>
      <w:r w:rsidRPr="009D27A9">
        <w:rPr>
          <w:b/>
          <w:szCs w:val="24"/>
        </w:rPr>
        <w:lastRenderedPageBreak/>
        <w:t>Requirements and Grading</w:t>
      </w:r>
    </w:p>
    <w:p w14:paraId="372800B2" w14:textId="77777777" w:rsidR="00B33585" w:rsidRPr="009D27A9" w:rsidRDefault="00B33585" w:rsidP="00B33585">
      <w:pPr>
        <w:rPr>
          <w:szCs w:val="24"/>
        </w:rPr>
      </w:pPr>
    </w:p>
    <w:p w14:paraId="14AF6FA7" w14:textId="33D30C2B" w:rsidR="00B33585" w:rsidRDefault="00B33585" w:rsidP="00B33585">
      <w:pPr>
        <w:rPr>
          <w:szCs w:val="24"/>
        </w:rPr>
      </w:pPr>
      <w:r w:rsidRPr="009D27A9">
        <w:rPr>
          <w:szCs w:val="24"/>
        </w:rPr>
        <w:t>The breakdown of the grade will be as follows:</w:t>
      </w:r>
    </w:p>
    <w:p w14:paraId="295B1BFB" w14:textId="0A68BDD0" w:rsidR="00B33585" w:rsidRPr="009D27A9" w:rsidRDefault="00B33585" w:rsidP="00B33585">
      <w:pPr>
        <w:numPr>
          <w:ilvl w:val="0"/>
          <w:numId w:val="1"/>
        </w:numPr>
        <w:ind w:left="360"/>
        <w:rPr>
          <w:szCs w:val="24"/>
        </w:rPr>
      </w:pPr>
      <w:r w:rsidRPr="009D27A9">
        <w:rPr>
          <w:szCs w:val="24"/>
        </w:rPr>
        <w:t>presentation (1</w:t>
      </w:r>
      <w:r w:rsidR="005914E7">
        <w:rPr>
          <w:szCs w:val="24"/>
        </w:rPr>
        <w:t>5</w:t>
      </w:r>
      <w:r w:rsidRPr="009D27A9">
        <w:rPr>
          <w:szCs w:val="24"/>
        </w:rPr>
        <w:t xml:space="preserve"> minutes): 1</w:t>
      </w:r>
      <w:r w:rsidR="0092518A">
        <w:rPr>
          <w:szCs w:val="24"/>
        </w:rPr>
        <w:t>5</w:t>
      </w:r>
      <w:r w:rsidRPr="009D27A9">
        <w:rPr>
          <w:szCs w:val="24"/>
        </w:rPr>
        <w:t>%</w:t>
      </w:r>
    </w:p>
    <w:p w14:paraId="274D3C82" w14:textId="77777777" w:rsidR="00B33585" w:rsidRPr="009D27A9" w:rsidRDefault="00B33585" w:rsidP="00B33585">
      <w:pPr>
        <w:numPr>
          <w:ilvl w:val="0"/>
          <w:numId w:val="1"/>
        </w:numPr>
        <w:ind w:left="360"/>
        <w:rPr>
          <w:szCs w:val="24"/>
        </w:rPr>
      </w:pPr>
      <w:r w:rsidRPr="009D27A9">
        <w:rPr>
          <w:szCs w:val="24"/>
        </w:rPr>
        <w:t>participation: 2</w:t>
      </w:r>
      <w:r w:rsidR="00F442F9">
        <w:rPr>
          <w:szCs w:val="24"/>
        </w:rPr>
        <w:t>0</w:t>
      </w:r>
      <w:r w:rsidRPr="009D27A9">
        <w:rPr>
          <w:szCs w:val="24"/>
        </w:rPr>
        <w:t xml:space="preserve">%  </w:t>
      </w:r>
    </w:p>
    <w:p w14:paraId="59171646" w14:textId="35B81289" w:rsidR="00B33585" w:rsidRPr="009D27A9" w:rsidRDefault="00276B60" w:rsidP="00B33585">
      <w:pPr>
        <w:numPr>
          <w:ilvl w:val="0"/>
          <w:numId w:val="1"/>
        </w:numPr>
        <w:ind w:left="360"/>
        <w:rPr>
          <w:szCs w:val="24"/>
        </w:rPr>
      </w:pPr>
      <w:r>
        <w:rPr>
          <w:szCs w:val="24"/>
        </w:rPr>
        <w:t xml:space="preserve">three </w:t>
      </w:r>
      <w:r w:rsidR="00426B56">
        <w:rPr>
          <w:szCs w:val="24"/>
        </w:rPr>
        <w:t>critical reading commentaries</w:t>
      </w:r>
      <w:r>
        <w:rPr>
          <w:szCs w:val="24"/>
        </w:rPr>
        <w:t xml:space="preserve"> (4-5 pages each</w:t>
      </w:r>
      <w:r w:rsidR="00762ADD">
        <w:rPr>
          <w:szCs w:val="24"/>
        </w:rPr>
        <w:t>)</w:t>
      </w:r>
      <w:r w:rsidR="00B33585" w:rsidRPr="009D27A9">
        <w:rPr>
          <w:szCs w:val="24"/>
        </w:rPr>
        <w:t xml:space="preserve">: </w:t>
      </w:r>
      <w:r w:rsidR="00217A71">
        <w:rPr>
          <w:szCs w:val="24"/>
        </w:rPr>
        <w:t>25</w:t>
      </w:r>
      <w:r w:rsidR="00B33585" w:rsidRPr="009D27A9">
        <w:rPr>
          <w:szCs w:val="24"/>
        </w:rPr>
        <w:t>%</w:t>
      </w:r>
    </w:p>
    <w:p w14:paraId="65BE6D78" w14:textId="09C03218" w:rsidR="00B33585" w:rsidRDefault="00276B60" w:rsidP="00B33585">
      <w:pPr>
        <w:numPr>
          <w:ilvl w:val="0"/>
          <w:numId w:val="1"/>
        </w:numPr>
        <w:ind w:left="360"/>
        <w:rPr>
          <w:szCs w:val="24"/>
        </w:rPr>
      </w:pPr>
      <w:r>
        <w:rPr>
          <w:szCs w:val="24"/>
        </w:rPr>
        <w:t xml:space="preserve">research paper </w:t>
      </w:r>
      <w:r w:rsidR="00762ADD">
        <w:rPr>
          <w:szCs w:val="24"/>
        </w:rPr>
        <w:t>(</w:t>
      </w:r>
      <w:r w:rsidR="00614C07">
        <w:rPr>
          <w:szCs w:val="24"/>
        </w:rPr>
        <w:t>1</w:t>
      </w:r>
      <w:r w:rsidR="00D73E02">
        <w:rPr>
          <w:szCs w:val="24"/>
        </w:rPr>
        <w:t>6</w:t>
      </w:r>
      <w:r w:rsidR="00614C07">
        <w:rPr>
          <w:szCs w:val="24"/>
        </w:rPr>
        <w:t>-20</w:t>
      </w:r>
      <w:r w:rsidR="00762ADD">
        <w:rPr>
          <w:szCs w:val="24"/>
        </w:rPr>
        <w:t xml:space="preserve"> pages)</w:t>
      </w:r>
      <w:r w:rsidR="00B33585" w:rsidRPr="009D27A9">
        <w:rPr>
          <w:szCs w:val="24"/>
        </w:rPr>
        <w:t xml:space="preserve">: </w:t>
      </w:r>
      <w:r w:rsidR="009146ED">
        <w:rPr>
          <w:szCs w:val="24"/>
        </w:rPr>
        <w:t>40</w:t>
      </w:r>
      <w:r w:rsidR="00B33585" w:rsidRPr="009D27A9">
        <w:rPr>
          <w:szCs w:val="24"/>
        </w:rPr>
        <w:t>%</w:t>
      </w:r>
    </w:p>
    <w:p w14:paraId="7B0E7B72" w14:textId="77777777" w:rsidR="00495008" w:rsidRDefault="00495008" w:rsidP="00495008">
      <w:pPr>
        <w:rPr>
          <w:szCs w:val="24"/>
        </w:rPr>
      </w:pPr>
    </w:p>
    <w:p w14:paraId="578C0BBC" w14:textId="5FC84DB0" w:rsidR="0076362B" w:rsidRPr="0076362B" w:rsidRDefault="0076362B" w:rsidP="0076362B">
      <w:pPr>
        <w:rPr>
          <w:szCs w:val="24"/>
        </w:rPr>
      </w:pPr>
      <w:r w:rsidRPr="0076362B">
        <w:rPr>
          <w:b/>
          <w:szCs w:val="24"/>
        </w:rPr>
        <w:t>Presentation (1</w:t>
      </w:r>
      <w:r w:rsidR="0092518A">
        <w:rPr>
          <w:b/>
          <w:szCs w:val="24"/>
        </w:rPr>
        <w:t>5</w:t>
      </w:r>
      <w:r w:rsidRPr="0076362B">
        <w:rPr>
          <w:b/>
          <w:szCs w:val="24"/>
        </w:rPr>
        <w:t xml:space="preserve">%): </w:t>
      </w:r>
      <w:r>
        <w:rPr>
          <w:szCs w:val="24"/>
        </w:rPr>
        <w:t>Students are expected to find one additional journal article or book segment (roughly 20-25 pages) that sheds fresh light on the relevant week’s assigned materials. The presentation will involve: (a) elaboration upon the question, thesis, argumentation, and evidence in the selected article; (b) discussion of the major points of contact with one or more of the assigned readings; (c) an attempt to spell out the key analytical implications</w:t>
      </w:r>
      <w:r w:rsidR="009A7CBA">
        <w:rPr>
          <w:szCs w:val="24"/>
        </w:rPr>
        <w:t xml:space="preserve"> and bases for criticism</w:t>
      </w:r>
      <w:r>
        <w:rPr>
          <w:szCs w:val="24"/>
        </w:rPr>
        <w:t>; and (d) identification of two discussion questions.</w:t>
      </w:r>
      <w:r w:rsidR="009A7CBA">
        <w:rPr>
          <w:szCs w:val="24"/>
        </w:rPr>
        <w:t xml:space="preserve"> The presentations will be </w:t>
      </w:r>
      <w:proofErr w:type="gramStart"/>
      <w:r w:rsidR="009A7CBA">
        <w:rPr>
          <w:szCs w:val="24"/>
        </w:rPr>
        <w:t>timed,</w:t>
      </w:r>
      <w:proofErr w:type="gramEnd"/>
      <w:r w:rsidR="009A7CBA">
        <w:rPr>
          <w:szCs w:val="24"/>
        </w:rPr>
        <w:t xml:space="preserve"> </w:t>
      </w:r>
      <w:proofErr w:type="gramStart"/>
      <w:r w:rsidR="009A7CBA">
        <w:rPr>
          <w:szCs w:val="24"/>
        </w:rPr>
        <w:t>in order to</w:t>
      </w:r>
      <w:proofErr w:type="gramEnd"/>
      <w:r w:rsidR="009A7CBA">
        <w:rPr>
          <w:szCs w:val="24"/>
        </w:rPr>
        <w:t xml:space="preserve"> make all possible accommodation for the subsequent seminar discussion. </w:t>
      </w:r>
      <w:r w:rsidR="00F15449">
        <w:rPr>
          <w:szCs w:val="24"/>
        </w:rPr>
        <w:t>Please identify the additional reading by 5 pm on the Tuesday of the presentation week, and then submit slides by 11 am on the Wednesday.</w:t>
      </w:r>
    </w:p>
    <w:p w14:paraId="32AAFF71" w14:textId="77777777" w:rsidR="005C5444" w:rsidRDefault="005C5444" w:rsidP="005C5444">
      <w:pPr>
        <w:rPr>
          <w:szCs w:val="24"/>
        </w:rPr>
      </w:pPr>
    </w:p>
    <w:p w14:paraId="3A171122" w14:textId="4E61B088" w:rsidR="00F518DD" w:rsidRDefault="005C5444" w:rsidP="00F518DD">
      <w:pPr>
        <w:rPr>
          <w:szCs w:val="24"/>
        </w:rPr>
      </w:pPr>
      <w:r w:rsidRPr="005C5444">
        <w:rPr>
          <w:b/>
          <w:szCs w:val="24"/>
        </w:rPr>
        <w:t>P</w:t>
      </w:r>
      <w:r w:rsidR="0076362B">
        <w:rPr>
          <w:b/>
          <w:szCs w:val="24"/>
        </w:rPr>
        <w:t>articipation</w:t>
      </w:r>
      <w:r w:rsidRPr="005C5444">
        <w:rPr>
          <w:b/>
          <w:szCs w:val="24"/>
        </w:rPr>
        <w:t xml:space="preserve"> (</w:t>
      </w:r>
      <w:r w:rsidR="0076362B">
        <w:rPr>
          <w:b/>
          <w:szCs w:val="24"/>
        </w:rPr>
        <w:t>20</w:t>
      </w:r>
      <w:r w:rsidRPr="005C5444">
        <w:rPr>
          <w:b/>
          <w:szCs w:val="24"/>
        </w:rPr>
        <w:t>%)</w:t>
      </w:r>
      <w:r>
        <w:rPr>
          <w:b/>
          <w:szCs w:val="24"/>
        </w:rPr>
        <w:t xml:space="preserve">: </w:t>
      </w:r>
      <w:r>
        <w:rPr>
          <w:szCs w:val="24"/>
        </w:rPr>
        <w:t xml:space="preserve">Students are expected to attend the seminar regularly and be prepared to participate in discussions of the assigned topics and readings. Participation will be assessed based not just on the frequency of the student’s contributions, but more fully </w:t>
      </w:r>
      <w:r w:rsidR="0076362B">
        <w:rPr>
          <w:szCs w:val="24"/>
        </w:rPr>
        <w:t>on the extent to which they are relevant, well-informed, and at the highest level also insightful.</w:t>
      </w:r>
      <w:r w:rsidR="004C2561">
        <w:rPr>
          <w:szCs w:val="24"/>
        </w:rPr>
        <w:t xml:space="preserve"> </w:t>
      </w:r>
      <w:r w:rsidR="00F518DD" w:rsidRPr="0003732D">
        <w:rPr>
          <w:szCs w:val="24"/>
        </w:rPr>
        <w:t xml:space="preserve">Keep in mind that a good question can reveal the extent of a student’s preparation, while also contributing to the progress of the seminar discussion. </w:t>
      </w:r>
    </w:p>
    <w:p w14:paraId="281BFCAA" w14:textId="77777777" w:rsidR="0076362B" w:rsidRDefault="0076362B" w:rsidP="005C5444">
      <w:pPr>
        <w:rPr>
          <w:szCs w:val="24"/>
        </w:rPr>
      </w:pPr>
    </w:p>
    <w:p w14:paraId="319792B1" w14:textId="7142FC92" w:rsidR="00CC2F2F" w:rsidRDefault="005C546F" w:rsidP="00CC2F2F">
      <w:pPr>
        <w:rPr>
          <w:szCs w:val="24"/>
          <w:lang w:val="en-CA"/>
        </w:rPr>
      </w:pPr>
      <w:r>
        <w:rPr>
          <w:b/>
          <w:szCs w:val="24"/>
        </w:rPr>
        <w:t>Critical Reading Commentaries</w:t>
      </w:r>
      <w:r w:rsidR="0076362B" w:rsidRPr="00A01613">
        <w:rPr>
          <w:b/>
          <w:szCs w:val="24"/>
        </w:rPr>
        <w:t xml:space="preserve"> (25%):</w:t>
      </w:r>
      <w:r w:rsidR="00CC2F2F">
        <w:rPr>
          <w:szCs w:val="24"/>
        </w:rPr>
        <w:t xml:space="preserve"> Students are expected to explore in detailed and critical fashion the arguments presented in one or more of the assigned readings for a given week. A fuller set of criteria for the assignment appears on the OWL site. These papers should be submitted on the OWL site, </w:t>
      </w:r>
      <w:r w:rsidR="000144E0">
        <w:rPr>
          <w:szCs w:val="24"/>
        </w:rPr>
        <w:t>in the Drop Box</w:t>
      </w:r>
      <w:r w:rsidR="00CC2F2F">
        <w:rPr>
          <w:szCs w:val="24"/>
        </w:rPr>
        <w:t xml:space="preserve">, </w:t>
      </w:r>
      <w:r w:rsidR="00CC2F2F">
        <w:rPr>
          <w:i/>
          <w:iCs/>
          <w:szCs w:val="24"/>
        </w:rPr>
        <w:t>before</w:t>
      </w:r>
      <w:r w:rsidR="00CC2F2F">
        <w:rPr>
          <w:szCs w:val="24"/>
        </w:rPr>
        <w:t xml:space="preserve"> the beginning of the seminar meeting in question – no later submissions will be accepted. The commentary papers must be submitted in weeks other than the student’s presentation week. Students must submit at least one of their commentary papers by the end of February.</w:t>
      </w:r>
      <w:r w:rsidR="003D29D8">
        <w:rPr>
          <w:szCs w:val="24"/>
        </w:rPr>
        <w:t xml:space="preserve"> </w:t>
      </w:r>
    </w:p>
    <w:p w14:paraId="5324A53A" w14:textId="77777777" w:rsidR="00A01613" w:rsidRDefault="00A01613" w:rsidP="005C5444">
      <w:pPr>
        <w:rPr>
          <w:szCs w:val="24"/>
        </w:rPr>
      </w:pPr>
    </w:p>
    <w:p w14:paraId="3FE38D85" w14:textId="1280F147" w:rsidR="00A01613" w:rsidRDefault="00F13C9D" w:rsidP="005C5444">
      <w:pPr>
        <w:rPr>
          <w:szCs w:val="24"/>
        </w:rPr>
      </w:pPr>
      <w:r>
        <w:rPr>
          <w:b/>
          <w:szCs w:val="24"/>
        </w:rPr>
        <w:t xml:space="preserve">Research Paper </w:t>
      </w:r>
      <w:r w:rsidR="00A01613" w:rsidRPr="00A01613">
        <w:rPr>
          <w:b/>
          <w:szCs w:val="24"/>
        </w:rPr>
        <w:t>(40%):</w:t>
      </w:r>
      <w:r w:rsidR="00A01613">
        <w:rPr>
          <w:szCs w:val="24"/>
        </w:rPr>
        <w:t xml:space="preserve"> </w:t>
      </w:r>
      <w:r w:rsidR="00993BDB">
        <w:rPr>
          <w:szCs w:val="24"/>
        </w:rPr>
        <w:t xml:space="preserve">Students </w:t>
      </w:r>
      <w:r w:rsidR="003B3006">
        <w:rPr>
          <w:szCs w:val="24"/>
        </w:rPr>
        <w:t xml:space="preserve">are expected to develop a </w:t>
      </w:r>
      <w:r w:rsidR="00E85F57">
        <w:rPr>
          <w:szCs w:val="24"/>
        </w:rPr>
        <w:t xml:space="preserve">compelling </w:t>
      </w:r>
      <w:r w:rsidR="003B3006">
        <w:rPr>
          <w:szCs w:val="24"/>
        </w:rPr>
        <w:t>question related to the themes of the seminar</w:t>
      </w:r>
      <w:r w:rsidR="00E85F57">
        <w:rPr>
          <w:szCs w:val="24"/>
        </w:rPr>
        <w:t xml:space="preserve"> and prepare a well-researched paper </w:t>
      </w:r>
      <w:r w:rsidR="00D474FA">
        <w:rPr>
          <w:szCs w:val="24"/>
        </w:rPr>
        <w:t xml:space="preserve">that offers a </w:t>
      </w:r>
      <w:r w:rsidR="00B25D09">
        <w:rPr>
          <w:szCs w:val="24"/>
        </w:rPr>
        <w:t xml:space="preserve">carefully developed and defended thesis over the course of 16-20 pages. More details will be posted on the </w:t>
      </w:r>
      <w:r w:rsidR="00805D72">
        <w:rPr>
          <w:szCs w:val="24"/>
        </w:rPr>
        <w:t xml:space="preserve">website. Students are encouraged to consult with the professor as many times as required in moving toward the </w:t>
      </w:r>
      <w:r w:rsidR="00575488">
        <w:rPr>
          <w:szCs w:val="24"/>
        </w:rPr>
        <w:t>completion of the paper.</w:t>
      </w:r>
      <w:r w:rsidR="00540940">
        <w:rPr>
          <w:szCs w:val="24"/>
        </w:rPr>
        <w:t xml:space="preserve"> </w:t>
      </w:r>
      <w:r w:rsidR="00540940" w:rsidRPr="00E30BE9">
        <w:rPr>
          <w:b/>
          <w:bCs/>
          <w:szCs w:val="24"/>
        </w:rPr>
        <w:t>Due</w:t>
      </w:r>
      <w:r w:rsidR="00E30BE9">
        <w:rPr>
          <w:szCs w:val="24"/>
        </w:rPr>
        <w:t>:</w:t>
      </w:r>
      <w:r w:rsidR="00540940">
        <w:rPr>
          <w:szCs w:val="24"/>
        </w:rPr>
        <w:t xml:space="preserve"> April 2</w:t>
      </w:r>
      <w:r w:rsidR="00EA0530">
        <w:rPr>
          <w:szCs w:val="24"/>
        </w:rPr>
        <w:t>5</w:t>
      </w:r>
      <w:r w:rsidR="00540940">
        <w:rPr>
          <w:szCs w:val="24"/>
        </w:rPr>
        <w:t>, 11:55 pm.</w:t>
      </w:r>
      <w:r w:rsidR="00575488">
        <w:rPr>
          <w:szCs w:val="24"/>
        </w:rPr>
        <w:t xml:space="preserve"> </w:t>
      </w:r>
      <w:r w:rsidR="00DD7375" w:rsidRPr="00DD7375">
        <w:rPr>
          <w:b/>
          <w:bCs/>
          <w:szCs w:val="24"/>
        </w:rPr>
        <w:t>Late penalty</w:t>
      </w:r>
      <w:r w:rsidR="00DD7375">
        <w:rPr>
          <w:szCs w:val="24"/>
        </w:rPr>
        <w:t xml:space="preserve">: 2% per day. </w:t>
      </w:r>
    </w:p>
    <w:p w14:paraId="17B8ECED" w14:textId="77777777" w:rsidR="0076362B" w:rsidRDefault="0076362B" w:rsidP="005C5444">
      <w:pPr>
        <w:rPr>
          <w:szCs w:val="24"/>
        </w:rPr>
      </w:pPr>
    </w:p>
    <w:p w14:paraId="2C66101F" w14:textId="77777777" w:rsidR="00B33585" w:rsidRPr="009D27A9" w:rsidRDefault="00B33585" w:rsidP="00B33585">
      <w:pPr>
        <w:rPr>
          <w:szCs w:val="24"/>
        </w:rPr>
      </w:pPr>
    </w:p>
    <w:p w14:paraId="62854ECD" w14:textId="77777777" w:rsidR="00B33585" w:rsidRPr="009D27A9" w:rsidRDefault="00B33585" w:rsidP="00B33585">
      <w:pPr>
        <w:jc w:val="center"/>
        <w:rPr>
          <w:b/>
          <w:szCs w:val="24"/>
          <w:u w:val="single"/>
        </w:rPr>
      </w:pPr>
      <w:r w:rsidRPr="009D27A9">
        <w:rPr>
          <w:b/>
          <w:szCs w:val="24"/>
          <w:u w:val="single"/>
        </w:rPr>
        <w:t>Readings</w:t>
      </w:r>
    </w:p>
    <w:p w14:paraId="2F2CEAA3" w14:textId="77777777" w:rsidR="00B33585" w:rsidRPr="009D27A9" w:rsidRDefault="00B33585" w:rsidP="00B33585">
      <w:pPr>
        <w:rPr>
          <w:szCs w:val="24"/>
        </w:rPr>
      </w:pPr>
    </w:p>
    <w:p w14:paraId="4EE8019A" w14:textId="4E5A8B78" w:rsidR="00433C49" w:rsidRDefault="0049028D" w:rsidP="004472DC">
      <w:pPr>
        <w:pStyle w:val="Heading1"/>
        <w:rPr>
          <w:sz w:val="24"/>
          <w:szCs w:val="24"/>
        </w:rPr>
      </w:pPr>
      <w:r>
        <w:rPr>
          <w:sz w:val="24"/>
          <w:szCs w:val="24"/>
        </w:rPr>
        <w:t xml:space="preserve">Week One: </w:t>
      </w:r>
      <w:r w:rsidR="00433C49">
        <w:rPr>
          <w:sz w:val="24"/>
          <w:szCs w:val="24"/>
        </w:rPr>
        <w:t>Introduction</w:t>
      </w:r>
    </w:p>
    <w:p w14:paraId="4A9ED7EC" w14:textId="51D078F2" w:rsidR="00433C49" w:rsidRDefault="00433C49" w:rsidP="004472DC">
      <w:pPr>
        <w:pStyle w:val="Heading1"/>
        <w:rPr>
          <w:b w:val="0"/>
          <w:bCs/>
          <w:sz w:val="24"/>
          <w:szCs w:val="24"/>
        </w:rPr>
      </w:pPr>
      <w:r w:rsidRPr="00433C49">
        <w:rPr>
          <w:b w:val="0"/>
          <w:bCs/>
          <w:sz w:val="24"/>
          <w:szCs w:val="24"/>
        </w:rPr>
        <w:t>(</w:t>
      </w:r>
      <w:r w:rsidR="00BA7564">
        <w:rPr>
          <w:b w:val="0"/>
          <w:bCs/>
          <w:sz w:val="24"/>
          <w:szCs w:val="24"/>
        </w:rPr>
        <w:t>January 10</w:t>
      </w:r>
      <w:r w:rsidRPr="00433C49">
        <w:rPr>
          <w:b w:val="0"/>
          <w:bCs/>
          <w:sz w:val="24"/>
          <w:szCs w:val="24"/>
        </w:rPr>
        <w:t>)</w:t>
      </w:r>
    </w:p>
    <w:p w14:paraId="680B5766" w14:textId="1624E097" w:rsidR="00433C49" w:rsidRDefault="00433C49" w:rsidP="00433C49">
      <w:pPr>
        <w:rPr>
          <w:lang w:val="en-GB"/>
        </w:rPr>
      </w:pPr>
    </w:p>
    <w:p w14:paraId="1FC8AFFD" w14:textId="7FA067D6" w:rsidR="00433C49" w:rsidRPr="00433C49" w:rsidRDefault="00433C49" w:rsidP="00433C49">
      <w:pPr>
        <w:rPr>
          <w:lang w:val="en-GB"/>
        </w:rPr>
      </w:pPr>
      <w:r>
        <w:rPr>
          <w:lang w:val="en-GB"/>
        </w:rPr>
        <w:t>No assigned readings.</w:t>
      </w:r>
    </w:p>
    <w:p w14:paraId="66D5937F" w14:textId="77777777" w:rsidR="00433C49" w:rsidRDefault="00433C49" w:rsidP="004472DC">
      <w:pPr>
        <w:pStyle w:val="Heading1"/>
        <w:rPr>
          <w:sz w:val="24"/>
          <w:szCs w:val="24"/>
        </w:rPr>
      </w:pPr>
    </w:p>
    <w:p w14:paraId="693232B9" w14:textId="5A631007" w:rsidR="00B33585" w:rsidRDefault="00433C49" w:rsidP="004472DC">
      <w:pPr>
        <w:pStyle w:val="Heading1"/>
        <w:rPr>
          <w:sz w:val="24"/>
          <w:szCs w:val="24"/>
        </w:rPr>
      </w:pPr>
      <w:r>
        <w:rPr>
          <w:sz w:val="24"/>
          <w:szCs w:val="24"/>
        </w:rPr>
        <w:t xml:space="preserve">Week </w:t>
      </w:r>
      <w:r w:rsidR="0049028D">
        <w:rPr>
          <w:sz w:val="24"/>
          <w:szCs w:val="24"/>
        </w:rPr>
        <w:t>Two</w:t>
      </w:r>
      <w:r>
        <w:rPr>
          <w:sz w:val="24"/>
          <w:szCs w:val="24"/>
        </w:rPr>
        <w:t xml:space="preserve">: </w:t>
      </w:r>
      <w:r w:rsidR="004472DC">
        <w:rPr>
          <w:sz w:val="24"/>
          <w:szCs w:val="24"/>
        </w:rPr>
        <w:t>Theorizing the Worlds of Welfare</w:t>
      </w:r>
    </w:p>
    <w:p w14:paraId="45D0D64C" w14:textId="6E2CF803" w:rsidR="004472DC" w:rsidRDefault="004472DC" w:rsidP="004472DC">
      <w:pPr>
        <w:rPr>
          <w:lang w:val="en-GB"/>
        </w:rPr>
      </w:pPr>
      <w:r>
        <w:rPr>
          <w:lang w:val="en-GB"/>
        </w:rPr>
        <w:t>(</w:t>
      </w:r>
      <w:r w:rsidR="00303C6E">
        <w:rPr>
          <w:lang w:val="en-GB"/>
        </w:rPr>
        <w:t>January 17</w:t>
      </w:r>
      <w:r>
        <w:rPr>
          <w:lang w:val="en-GB"/>
        </w:rPr>
        <w:t>)</w:t>
      </w:r>
    </w:p>
    <w:p w14:paraId="77B9FB72" w14:textId="77777777" w:rsidR="004472DC" w:rsidRPr="004472DC" w:rsidRDefault="004472DC" w:rsidP="004472DC">
      <w:pPr>
        <w:rPr>
          <w:lang w:val="en-GB"/>
        </w:rPr>
      </w:pPr>
    </w:p>
    <w:p w14:paraId="34F03C73" w14:textId="77777777" w:rsidR="004472DC" w:rsidRDefault="004472DC" w:rsidP="004472DC">
      <w:pPr>
        <w:rPr>
          <w:szCs w:val="24"/>
        </w:rPr>
      </w:pPr>
      <w:r w:rsidRPr="009D27A9">
        <w:rPr>
          <w:szCs w:val="24"/>
        </w:rPr>
        <w:t xml:space="preserve">Gosta Esping-Andersen, </w:t>
      </w:r>
      <w:r w:rsidRPr="009D27A9">
        <w:rPr>
          <w:i/>
          <w:szCs w:val="24"/>
        </w:rPr>
        <w:t>The Three Worlds of Welfare Capitalism</w:t>
      </w:r>
      <w:r w:rsidRPr="009D27A9">
        <w:rPr>
          <w:szCs w:val="24"/>
        </w:rPr>
        <w:t xml:space="preserve"> (Princeton University Press, 1991), chapters 1-3. </w:t>
      </w:r>
    </w:p>
    <w:p w14:paraId="7F4BE150" w14:textId="77777777" w:rsidR="00B33585" w:rsidRDefault="00B33585" w:rsidP="00B33585">
      <w:pPr>
        <w:pStyle w:val="Heading1"/>
        <w:rPr>
          <w:b w:val="0"/>
          <w:sz w:val="24"/>
          <w:szCs w:val="24"/>
        </w:rPr>
      </w:pPr>
      <w:r w:rsidRPr="009D27A9">
        <w:rPr>
          <w:b w:val="0"/>
          <w:sz w:val="24"/>
          <w:szCs w:val="24"/>
        </w:rPr>
        <w:lastRenderedPageBreak/>
        <w:t xml:space="preserve">Kees van Kersbergen and Barbara Vis, </w:t>
      </w:r>
      <w:r w:rsidRPr="009D27A9">
        <w:rPr>
          <w:b w:val="0"/>
          <w:i/>
          <w:sz w:val="24"/>
          <w:szCs w:val="24"/>
        </w:rPr>
        <w:t>Comparative Welfare State Politics: Development, Opportunities, and Reform</w:t>
      </w:r>
      <w:r w:rsidRPr="009D27A9">
        <w:rPr>
          <w:b w:val="0"/>
          <w:sz w:val="24"/>
          <w:szCs w:val="24"/>
        </w:rPr>
        <w:t xml:space="preserve"> (Cambridge, 2014), chapter 3.</w:t>
      </w:r>
    </w:p>
    <w:p w14:paraId="16613E41" w14:textId="4C94F875" w:rsidR="0028208A" w:rsidRDefault="0028208A" w:rsidP="008A5397">
      <w:pPr>
        <w:rPr>
          <w:b/>
          <w:szCs w:val="24"/>
        </w:rPr>
      </w:pPr>
    </w:p>
    <w:p w14:paraId="7FC2B083" w14:textId="784D4C55" w:rsidR="008A5397" w:rsidRPr="009D27A9" w:rsidRDefault="00B33585" w:rsidP="008A5397">
      <w:pPr>
        <w:rPr>
          <w:b/>
          <w:szCs w:val="24"/>
        </w:rPr>
      </w:pPr>
      <w:r w:rsidRPr="009D27A9">
        <w:rPr>
          <w:b/>
          <w:szCs w:val="24"/>
        </w:rPr>
        <w:t>Week T</w:t>
      </w:r>
      <w:r w:rsidR="0049028D">
        <w:rPr>
          <w:b/>
          <w:szCs w:val="24"/>
        </w:rPr>
        <w:t>hree</w:t>
      </w:r>
      <w:r w:rsidRPr="009D27A9">
        <w:rPr>
          <w:b/>
          <w:szCs w:val="24"/>
        </w:rPr>
        <w:t xml:space="preserve">: </w:t>
      </w:r>
      <w:r w:rsidR="008A5397" w:rsidRPr="009D27A9">
        <w:rPr>
          <w:b/>
          <w:szCs w:val="24"/>
        </w:rPr>
        <w:t xml:space="preserve">The Liberal Regime </w:t>
      </w:r>
    </w:p>
    <w:p w14:paraId="6AFA929D" w14:textId="6E2EAB8D" w:rsidR="008A5397" w:rsidRDefault="008A5397" w:rsidP="008A5397">
      <w:pPr>
        <w:rPr>
          <w:szCs w:val="24"/>
        </w:rPr>
      </w:pPr>
      <w:r>
        <w:rPr>
          <w:szCs w:val="24"/>
        </w:rPr>
        <w:t>(</w:t>
      </w:r>
      <w:r w:rsidR="00303C6E">
        <w:rPr>
          <w:szCs w:val="24"/>
        </w:rPr>
        <w:t>January 24</w:t>
      </w:r>
      <w:r>
        <w:rPr>
          <w:szCs w:val="24"/>
        </w:rPr>
        <w:t>)</w:t>
      </w:r>
    </w:p>
    <w:p w14:paraId="29D78926" w14:textId="77777777" w:rsidR="008A5397" w:rsidRPr="009D27A9" w:rsidRDefault="008A5397" w:rsidP="008A5397">
      <w:pPr>
        <w:rPr>
          <w:szCs w:val="24"/>
        </w:rPr>
      </w:pPr>
    </w:p>
    <w:p w14:paraId="4CB530E0" w14:textId="77777777" w:rsidR="008A5397" w:rsidRPr="009D27A9" w:rsidRDefault="008A5397" w:rsidP="008A5397">
      <w:pPr>
        <w:rPr>
          <w:szCs w:val="24"/>
        </w:rPr>
      </w:pPr>
      <w:r w:rsidRPr="009D27A9">
        <w:rPr>
          <w:szCs w:val="24"/>
        </w:rPr>
        <w:t xml:space="preserve">Kathleen Jones, </w:t>
      </w:r>
      <w:r w:rsidRPr="009D27A9">
        <w:rPr>
          <w:i/>
          <w:szCs w:val="24"/>
        </w:rPr>
        <w:t xml:space="preserve">The Making of Social Policy in Britain: From the Poor Law to New </w:t>
      </w:r>
      <w:proofErr w:type="spellStart"/>
      <w:r w:rsidRPr="009D27A9">
        <w:rPr>
          <w:i/>
          <w:szCs w:val="24"/>
        </w:rPr>
        <w:t>Labour</w:t>
      </w:r>
      <w:proofErr w:type="spellEnd"/>
      <w:r w:rsidRPr="009D27A9">
        <w:rPr>
          <w:i/>
          <w:szCs w:val="24"/>
        </w:rPr>
        <w:t xml:space="preserve"> </w:t>
      </w:r>
      <w:r w:rsidRPr="009D27A9">
        <w:rPr>
          <w:szCs w:val="24"/>
        </w:rPr>
        <w:t>(2000), chapters 1</w:t>
      </w:r>
      <w:r w:rsidR="00886A4B">
        <w:rPr>
          <w:szCs w:val="24"/>
        </w:rPr>
        <w:t xml:space="preserve">, 2, </w:t>
      </w:r>
      <w:r w:rsidR="00435FC2">
        <w:rPr>
          <w:szCs w:val="24"/>
        </w:rPr>
        <w:t xml:space="preserve">and </w:t>
      </w:r>
      <w:r w:rsidR="00886A4B">
        <w:rPr>
          <w:szCs w:val="24"/>
        </w:rPr>
        <w:t>5</w:t>
      </w:r>
      <w:r w:rsidRPr="009D27A9">
        <w:rPr>
          <w:szCs w:val="24"/>
        </w:rPr>
        <w:t xml:space="preserve">. </w:t>
      </w:r>
    </w:p>
    <w:p w14:paraId="5E20D272" w14:textId="77777777" w:rsidR="008A5397" w:rsidRPr="009D27A9" w:rsidRDefault="008A5397" w:rsidP="008A5397">
      <w:pPr>
        <w:rPr>
          <w:szCs w:val="24"/>
        </w:rPr>
      </w:pPr>
      <w:r w:rsidRPr="009D27A9">
        <w:rPr>
          <w:szCs w:val="24"/>
        </w:rPr>
        <w:t xml:space="preserve">David Edgerton, “War and the Development of the British Welfare State,” in Herbert </w:t>
      </w:r>
      <w:proofErr w:type="spellStart"/>
      <w:r w:rsidRPr="009D27A9">
        <w:rPr>
          <w:szCs w:val="24"/>
        </w:rPr>
        <w:t>Obinger</w:t>
      </w:r>
      <w:proofErr w:type="spellEnd"/>
      <w:r w:rsidRPr="009D27A9">
        <w:rPr>
          <w:szCs w:val="24"/>
        </w:rPr>
        <w:t xml:space="preserve">, Klaus Petersen, and Peter Starke, eds., </w:t>
      </w:r>
      <w:r w:rsidRPr="009D27A9">
        <w:rPr>
          <w:i/>
          <w:szCs w:val="24"/>
        </w:rPr>
        <w:t>Warfare and Welfare: Military Conflict and Welfare State Development in Western Countries</w:t>
      </w:r>
      <w:r w:rsidRPr="009D27A9">
        <w:rPr>
          <w:szCs w:val="24"/>
        </w:rPr>
        <w:t xml:space="preserve"> (Oxford, 2018). </w:t>
      </w:r>
    </w:p>
    <w:p w14:paraId="2C364DC9" w14:textId="77777777" w:rsidR="008A5397" w:rsidRPr="009D27A9" w:rsidRDefault="008A5397" w:rsidP="008A5397">
      <w:pPr>
        <w:rPr>
          <w:szCs w:val="24"/>
        </w:rPr>
      </w:pPr>
      <w:r w:rsidRPr="009D27A9">
        <w:rPr>
          <w:szCs w:val="24"/>
        </w:rPr>
        <w:t xml:space="preserve">Theda Skocpol, </w:t>
      </w:r>
      <w:r w:rsidRPr="009D27A9">
        <w:rPr>
          <w:i/>
          <w:szCs w:val="24"/>
        </w:rPr>
        <w:t>Social Policy in the United States: Future Possibilities in Historical Perspective</w:t>
      </w:r>
      <w:r w:rsidRPr="009D27A9">
        <w:rPr>
          <w:szCs w:val="24"/>
        </w:rPr>
        <w:t xml:space="preserve"> (Princeton University Press, 1995), chapter 6. </w:t>
      </w:r>
    </w:p>
    <w:p w14:paraId="3A52E0DA" w14:textId="77777777" w:rsidR="008A5397" w:rsidRDefault="008A5397" w:rsidP="00B33585">
      <w:pPr>
        <w:rPr>
          <w:b/>
          <w:szCs w:val="24"/>
        </w:rPr>
      </w:pPr>
    </w:p>
    <w:p w14:paraId="1888D3F4" w14:textId="4DBBA2CA" w:rsidR="00B33585" w:rsidRPr="009D27A9" w:rsidRDefault="00FB7560" w:rsidP="00B33585">
      <w:pPr>
        <w:rPr>
          <w:b/>
          <w:szCs w:val="24"/>
        </w:rPr>
      </w:pPr>
      <w:r>
        <w:rPr>
          <w:b/>
          <w:szCs w:val="24"/>
        </w:rPr>
        <w:t xml:space="preserve">Week </w:t>
      </w:r>
      <w:r w:rsidR="000C3EC3">
        <w:rPr>
          <w:b/>
          <w:szCs w:val="24"/>
        </w:rPr>
        <w:t>Four</w:t>
      </w:r>
      <w:r w:rsidR="00471CEA">
        <w:rPr>
          <w:b/>
          <w:szCs w:val="24"/>
        </w:rPr>
        <w:t>:</w:t>
      </w:r>
      <w:r>
        <w:rPr>
          <w:b/>
          <w:szCs w:val="24"/>
        </w:rPr>
        <w:t xml:space="preserve"> </w:t>
      </w:r>
      <w:r w:rsidR="00B33585" w:rsidRPr="009D27A9">
        <w:rPr>
          <w:b/>
          <w:szCs w:val="24"/>
        </w:rPr>
        <w:t xml:space="preserve">The Social Democratic Regime </w:t>
      </w:r>
    </w:p>
    <w:p w14:paraId="5437F96D" w14:textId="5784187C" w:rsidR="00B33585" w:rsidRDefault="00FB7560" w:rsidP="00B33585">
      <w:pPr>
        <w:rPr>
          <w:szCs w:val="24"/>
        </w:rPr>
      </w:pPr>
      <w:r>
        <w:rPr>
          <w:szCs w:val="24"/>
        </w:rPr>
        <w:t>(</w:t>
      </w:r>
      <w:r w:rsidR="00CA3A45">
        <w:rPr>
          <w:szCs w:val="24"/>
        </w:rPr>
        <w:t>January 31</w:t>
      </w:r>
      <w:r>
        <w:rPr>
          <w:szCs w:val="24"/>
        </w:rPr>
        <w:t>)</w:t>
      </w:r>
    </w:p>
    <w:p w14:paraId="0268B6E0" w14:textId="77777777" w:rsidR="004472DC" w:rsidRPr="009D27A9" w:rsidRDefault="004472DC" w:rsidP="00B33585">
      <w:pPr>
        <w:rPr>
          <w:szCs w:val="24"/>
        </w:rPr>
      </w:pPr>
    </w:p>
    <w:p w14:paraId="063C4E8D" w14:textId="77777777" w:rsidR="00B33585" w:rsidRPr="009D27A9" w:rsidRDefault="00B33585" w:rsidP="00B33585">
      <w:pPr>
        <w:rPr>
          <w:szCs w:val="24"/>
        </w:rPr>
      </w:pPr>
      <w:r w:rsidRPr="009D27A9">
        <w:rPr>
          <w:szCs w:val="24"/>
        </w:rPr>
        <w:t>Bo Rothstein, “</w:t>
      </w:r>
      <w:proofErr w:type="spellStart"/>
      <w:r w:rsidRPr="009D27A9">
        <w:rPr>
          <w:szCs w:val="24"/>
        </w:rPr>
        <w:t>Labour</w:t>
      </w:r>
      <w:proofErr w:type="spellEnd"/>
      <w:r w:rsidRPr="009D27A9">
        <w:rPr>
          <w:szCs w:val="24"/>
        </w:rPr>
        <w:t xml:space="preserve">-Market Institutions and Working-Class Strength,” in Sven </w:t>
      </w:r>
      <w:proofErr w:type="spellStart"/>
      <w:r w:rsidRPr="009D27A9">
        <w:rPr>
          <w:szCs w:val="24"/>
        </w:rPr>
        <w:t>Steinmo</w:t>
      </w:r>
      <w:proofErr w:type="spellEnd"/>
      <w:r w:rsidRPr="009D27A9">
        <w:rPr>
          <w:szCs w:val="24"/>
        </w:rPr>
        <w:t xml:space="preserve">, Kathleen Thelen, and Frank Longstreth, eds., </w:t>
      </w:r>
      <w:r w:rsidRPr="009D27A9">
        <w:rPr>
          <w:i/>
          <w:szCs w:val="24"/>
        </w:rPr>
        <w:t xml:space="preserve">Historical Institutionalism in Comparative Analysis </w:t>
      </w:r>
      <w:r w:rsidRPr="009D27A9">
        <w:rPr>
          <w:szCs w:val="24"/>
        </w:rPr>
        <w:t>(Cambridge University Press, 1992).</w:t>
      </w:r>
    </w:p>
    <w:p w14:paraId="529E19EA" w14:textId="77777777" w:rsidR="00B33585" w:rsidRDefault="00B33585" w:rsidP="00B33585">
      <w:pPr>
        <w:rPr>
          <w:szCs w:val="24"/>
        </w:rPr>
      </w:pPr>
      <w:r w:rsidRPr="009D27A9">
        <w:rPr>
          <w:szCs w:val="24"/>
        </w:rPr>
        <w:t xml:space="preserve">Dmitris </w:t>
      </w:r>
      <w:proofErr w:type="spellStart"/>
      <w:r w:rsidRPr="009D27A9">
        <w:rPr>
          <w:szCs w:val="24"/>
        </w:rPr>
        <w:t>Tsarouhas</w:t>
      </w:r>
      <w:proofErr w:type="spellEnd"/>
      <w:r w:rsidRPr="009D27A9">
        <w:rPr>
          <w:szCs w:val="24"/>
        </w:rPr>
        <w:t xml:space="preserve">, </w:t>
      </w:r>
      <w:r w:rsidRPr="009D27A9">
        <w:rPr>
          <w:i/>
          <w:szCs w:val="24"/>
        </w:rPr>
        <w:t>Social Democracy in Sweden: The Threat from a Globalized World</w:t>
      </w:r>
      <w:r w:rsidRPr="009D27A9">
        <w:rPr>
          <w:szCs w:val="24"/>
        </w:rPr>
        <w:t xml:space="preserve"> (Tauris Academic Studies, 2008), chapter 2. </w:t>
      </w:r>
    </w:p>
    <w:p w14:paraId="4048A459" w14:textId="6C59F756" w:rsidR="008665F2" w:rsidRPr="009D27A9" w:rsidRDefault="008665F2" w:rsidP="00B33585">
      <w:pPr>
        <w:rPr>
          <w:szCs w:val="24"/>
        </w:rPr>
      </w:pPr>
      <w:r>
        <w:rPr>
          <w:szCs w:val="24"/>
        </w:rPr>
        <w:t xml:space="preserve">Pauli Kettunen, “The Nordic Welfare State in Finland.” </w:t>
      </w:r>
      <w:r w:rsidRPr="008665F2">
        <w:rPr>
          <w:i/>
          <w:iCs/>
          <w:szCs w:val="24"/>
        </w:rPr>
        <w:t>Scandinavian Journal of History</w:t>
      </w:r>
      <w:r>
        <w:rPr>
          <w:szCs w:val="24"/>
        </w:rPr>
        <w:t xml:space="preserve"> vol. 26, no. 3 (2001). </w:t>
      </w:r>
    </w:p>
    <w:p w14:paraId="59ECAF31" w14:textId="77777777" w:rsidR="00B33585" w:rsidRPr="009D27A9" w:rsidRDefault="00B33585" w:rsidP="00B33585">
      <w:pPr>
        <w:rPr>
          <w:szCs w:val="24"/>
        </w:rPr>
      </w:pPr>
      <w:r w:rsidRPr="009D27A9">
        <w:rPr>
          <w:szCs w:val="24"/>
        </w:rPr>
        <w:t xml:space="preserve">Lars Bo Kaspersen, “The Formation and Development of the Welfare State,” in John L. Campbell, John A. Hall, and Ove K. Pedersen, eds., </w:t>
      </w:r>
      <w:r w:rsidRPr="009D27A9">
        <w:rPr>
          <w:i/>
          <w:szCs w:val="24"/>
        </w:rPr>
        <w:t xml:space="preserve">National </w:t>
      </w:r>
      <w:proofErr w:type="gramStart"/>
      <w:r w:rsidRPr="009D27A9">
        <w:rPr>
          <w:i/>
          <w:szCs w:val="24"/>
        </w:rPr>
        <w:t>Identity</w:t>
      </w:r>
      <w:proofErr w:type="gramEnd"/>
      <w:r w:rsidRPr="009D27A9">
        <w:rPr>
          <w:i/>
          <w:szCs w:val="24"/>
        </w:rPr>
        <w:t xml:space="preserve"> and the Varieties of Capitalism: The Danish Experience</w:t>
      </w:r>
      <w:r w:rsidRPr="009D27A9">
        <w:rPr>
          <w:szCs w:val="24"/>
        </w:rPr>
        <w:t xml:space="preserve"> (DJOF Publishing, 2006), pp. 99-108, 127-30.  </w:t>
      </w:r>
    </w:p>
    <w:p w14:paraId="6809D6EC" w14:textId="77777777" w:rsidR="00B33585" w:rsidRPr="009D27A9" w:rsidRDefault="00B33585" w:rsidP="00B33585">
      <w:pPr>
        <w:rPr>
          <w:szCs w:val="24"/>
        </w:rPr>
      </w:pPr>
    </w:p>
    <w:p w14:paraId="5C86F9B1" w14:textId="63885CE6" w:rsidR="00B33585" w:rsidRPr="009D27A9" w:rsidRDefault="00B33585" w:rsidP="00B33585">
      <w:pPr>
        <w:rPr>
          <w:b/>
          <w:szCs w:val="24"/>
        </w:rPr>
      </w:pPr>
      <w:r w:rsidRPr="009D27A9">
        <w:rPr>
          <w:b/>
          <w:szCs w:val="24"/>
        </w:rPr>
        <w:t>Week F</w:t>
      </w:r>
      <w:r w:rsidR="004F2CCD">
        <w:rPr>
          <w:b/>
          <w:szCs w:val="24"/>
        </w:rPr>
        <w:t>ive</w:t>
      </w:r>
      <w:r w:rsidRPr="009D27A9">
        <w:rPr>
          <w:b/>
          <w:szCs w:val="24"/>
        </w:rPr>
        <w:t xml:space="preserve">: The Conservative Corporatist Regime </w:t>
      </w:r>
    </w:p>
    <w:p w14:paraId="4125F2F6" w14:textId="5C1BEDB8" w:rsidR="00B33585" w:rsidRDefault="005379FD" w:rsidP="00B33585">
      <w:pPr>
        <w:rPr>
          <w:szCs w:val="24"/>
        </w:rPr>
      </w:pPr>
      <w:r>
        <w:rPr>
          <w:szCs w:val="24"/>
        </w:rPr>
        <w:t>(</w:t>
      </w:r>
      <w:r w:rsidR="00CA3A45">
        <w:rPr>
          <w:szCs w:val="24"/>
        </w:rPr>
        <w:t>February 7</w:t>
      </w:r>
      <w:r>
        <w:rPr>
          <w:szCs w:val="24"/>
        </w:rPr>
        <w:t>)</w:t>
      </w:r>
    </w:p>
    <w:p w14:paraId="67E6A447" w14:textId="77777777" w:rsidR="005379FD" w:rsidRPr="009D27A9" w:rsidRDefault="005379FD" w:rsidP="00B33585">
      <w:pPr>
        <w:rPr>
          <w:szCs w:val="24"/>
        </w:rPr>
      </w:pPr>
    </w:p>
    <w:p w14:paraId="16391AA0" w14:textId="77777777" w:rsidR="00B33585" w:rsidRPr="009D27A9" w:rsidRDefault="00B33585" w:rsidP="00B33585">
      <w:pPr>
        <w:rPr>
          <w:szCs w:val="24"/>
        </w:rPr>
      </w:pPr>
      <w:r w:rsidRPr="009D27A9">
        <w:rPr>
          <w:szCs w:val="24"/>
        </w:rPr>
        <w:t xml:space="preserve">John S. Ambler, ed., </w:t>
      </w:r>
      <w:r w:rsidRPr="009D27A9">
        <w:rPr>
          <w:i/>
          <w:szCs w:val="24"/>
        </w:rPr>
        <w:t>The French Welfare State: Surviving Social and Ideological Change</w:t>
      </w:r>
      <w:r w:rsidRPr="009D27A9">
        <w:rPr>
          <w:szCs w:val="24"/>
        </w:rPr>
        <w:t xml:space="preserve"> (New York University Press, 1991), chapters 2 and 5.</w:t>
      </w:r>
    </w:p>
    <w:p w14:paraId="27BF3602" w14:textId="77777777" w:rsidR="00B33585" w:rsidRPr="009D27A9" w:rsidRDefault="00B33585" w:rsidP="00B33585">
      <w:pPr>
        <w:rPr>
          <w:szCs w:val="24"/>
        </w:rPr>
      </w:pPr>
      <w:r w:rsidRPr="009D27A9">
        <w:rPr>
          <w:szCs w:val="24"/>
        </w:rPr>
        <w:t xml:space="preserve">Young-Sun Hong, </w:t>
      </w:r>
      <w:r w:rsidRPr="009D27A9">
        <w:rPr>
          <w:i/>
          <w:szCs w:val="24"/>
        </w:rPr>
        <w:t>Welfare, Modernity, and the Weimar State, 1919-1933</w:t>
      </w:r>
      <w:r w:rsidRPr="009D27A9">
        <w:rPr>
          <w:szCs w:val="24"/>
        </w:rPr>
        <w:t xml:space="preserve"> (Princeton University Press, 1998), pp. 16-36. </w:t>
      </w:r>
    </w:p>
    <w:p w14:paraId="6D87A1F2" w14:textId="77777777" w:rsidR="00B33585" w:rsidRDefault="00B33585" w:rsidP="00B33585">
      <w:pPr>
        <w:rPr>
          <w:szCs w:val="24"/>
        </w:rPr>
      </w:pPr>
      <w:r w:rsidRPr="009D27A9">
        <w:rPr>
          <w:szCs w:val="24"/>
        </w:rPr>
        <w:t xml:space="preserve">Thomas Paster, “Business and Welfare State Development: Why Did Employers Accept Social Reforms?” </w:t>
      </w:r>
      <w:r w:rsidRPr="009D27A9">
        <w:rPr>
          <w:i/>
          <w:szCs w:val="24"/>
        </w:rPr>
        <w:t>World Politics</w:t>
      </w:r>
      <w:r w:rsidRPr="009D27A9">
        <w:rPr>
          <w:szCs w:val="24"/>
        </w:rPr>
        <w:t xml:space="preserve"> vol. 65, no. 3 (July 2013). </w:t>
      </w:r>
    </w:p>
    <w:p w14:paraId="075CBC1A" w14:textId="77777777" w:rsidR="00453C8A" w:rsidRDefault="00453C8A" w:rsidP="00B33585">
      <w:pPr>
        <w:rPr>
          <w:szCs w:val="24"/>
        </w:rPr>
      </w:pPr>
    </w:p>
    <w:p w14:paraId="0BA8D63D" w14:textId="601C5D48" w:rsidR="00453C8A" w:rsidRPr="009D27A9" w:rsidRDefault="00453C8A" w:rsidP="00453C8A">
      <w:pPr>
        <w:rPr>
          <w:szCs w:val="24"/>
        </w:rPr>
      </w:pPr>
      <w:r w:rsidRPr="00453C8A">
        <w:rPr>
          <w:b/>
          <w:szCs w:val="24"/>
        </w:rPr>
        <w:t xml:space="preserve">Week </w:t>
      </w:r>
      <w:r w:rsidR="004F2CCD">
        <w:rPr>
          <w:b/>
          <w:szCs w:val="24"/>
        </w:rPr>
        <w:t>Six</w:t>
      </w:r>
      <w:r w:rsidRPr="00453C8A">
        <w:rPr>
          <w:b/>
          <w:szCs w:val="24"/>
        </w:rPr>
        <w:t>:</w:t>
      </w:r>
      <w:r w:rsidR="004472DC">
        <w:rPr>
          <w:b/>
          <w:szCs w:val="24"/>
        </w:rPr>
        <w:t xml:space="preserve"> Taking Stock, </w:t>
      </w:r>
      <w:r w:rsidR="00C7171F">
        <w:rPr>
          <w:b/>
          <w:szCs w:val="24"/>
        </w:rPr>
        <w:t>Acknowledging</w:t>
      </w:r>
      <w:r w:rsidR="004472DC">
        <w:rPr>
          <w:b/>
          <w:szCs w:val="24"/>
        </w:rPr>
        <w:t xml:space="preserve"> New Challenges</w:t>
      </w:r>
      <w:r w:rsidRPr="00453C8A">
        <w:rPr>
          <w:b/>
          <w:szCs w:val="24"/>
        </w:rPr>
        <w:t xml:space="preserve"> </w:t>
      </w:r>
    </w:p>
    <w:p w14:paraId="672F9CC1" w14:textId="2A2D858A" w:rsidR="00453C8A" w:rsidRDefault="00453C8A" w:rsidP="00453C8A">
      <w:pPr>
        <w:rPr>
          <w:szCs w:val="24"/>
        </w:rPr>
      </w:pPr>
      <w:r>
        <w:rPr>
          <w:szCs w:val="24"/>
        </w:rPr>
        <w:t>(</w:t>
      </w:r>
      <w:r w:rsidR="00B65A89">
        <w:rPr>
          <w:szCs w:val="24"/>
        </w:rPr>
        <w:t>February 14</w:t>
      </w:r>
      <w:r w:rsidR="00433C49">
        <w:rPr>
          <w:szCs w:val="24"/>
        </w:rPr>
        <w:t>)</w:t>
      </w:r>
    </w:p>
    <w:p w14:paraId="289D739A" w14:textId="77777777" w:rsidR="00453C8A" w:rsidRPr="009D27A9" w:rsidRDefault="00453C8A" w:rsidP="00453C8A">
      <w:pPr>
        <w:rPr>
          <w:szCs w:val="24"/>
        </w:rPr>
      </w:pPr>
    </w:p>
    <w:p w14:paraId="3B68AC78" w14:textId="77777777" w:rsidR="00453C8A" w:rsidRPr="009D27A9" w:rsidRDefault="00453C8A" w:rsidP="00453C8A">
      <w:pPr>
        <w:rPr>
          <w:szCs w:val="24"/>
        </w:rPr>
      </w:pPr>
      <w:r w:rsidRPr="009D27A9">
        <w:rPr>
          <w:szCs w:val="24"/>
        </w:rPr>
        <w:t xml:space="preserve">Kees van Kersbergen and Barbara Vis, </w:t>
      </w:r>
      <w:r w:rsidRPr="009D27A9">
        <w:rPr>
          <w:i/>
          <w:szCs w:val="24"/>
        </w:rPr>
        <w:t>Comparative Welfare State Politics: Development, Opportunities, and Reform</w:t>
      </w:r>
      <w:r w:rsidRPr="009D27A9">
        <w:rPr>
          <w:szCs w:val="24"/>
        </w:rPr>
        <w:t xml:space="preserve"> (Cambridge University Press, 2014), pp. 78-102, 123-55.</w:t>
      </w:r>
    </w:p>
    <w:p w14:paraId="39AD430C" w14:textId="77777777" w:rsidR="00453C8A" w:rsidRPr="009D27A9" w:rsidRDefault="00453C8A" w:rsidP="00453C8A">
      <w:pPr>
        <w:rPr>
          <w:szCs w:val="24"/>
        </w:rPr>
      </w:pPr>
      <w:r w:rsidRPr="009D27A9">
        <w:rPr>
          <w:szCs w:val="24"/>
        </w:rPr>
        <w:t xml:space="preserve">Jan Zutavern and Martin Kohli, “Needs and Risks in the Welfare State,” in Francis G. Castles, Stephan Leibfried, Jane Lewis, Herbert </w:t>
      </w:r>
      <w:proofErr w:type="spellStart"/>
      <w:r w:rsidRPr="009D27A9">
        <w:rPr>
          <w:szCs w:val="24"/>
        </w:rPr>
        <w:t>Obinger</w:t>
      </w:r>
      <w:proofErr w:type="spellEnd"/>
      <w:r w:rsidRPr="009D27A9">
        <w:rPr>
          <w:szCs w:val="24"/>
        </w:rPr>
        <w:t xml:space="preserve">, and Christopher Pierson, eds., </w:t>
      </w:r>
      <w:r w:rsidRPr="009D27A9">
        <w:rPr>
          <w:i/>
          <w:szCs w:val="24"/>
        </w:rPr>
        <w:t>The Oxford Handbook of the Welfare State</w:t>
      </w:r>
      <w:r w:rsidRPr="009D27A9">
        <w:rPr>
          <w:szCs w:val="24"/>
        </w:rPr>
        <w:t xml:space="preserve"> (Oxford University Press, 2010).</w:t>
      </w:r>
    </w:p>
    <w:p w14:paraId="46F1F9D4" w14:textId="77777777" w:rsidR="00453C8A" w:rsidRDefault="00453C8A" w:rsidP="00453C8A">
      <w:pPr>
        <w:rPr>
          <w:szCs w:val="24"/>
        </w:rPr>
      </w:pPr>
      <w:r w:rsidRPr="009D27A9">
        <w:rPr>
          <w:szCs w:val="24"/>
        </w:rPr>
        <w:t xml:space="preserve">Volker Meier and Martin </w:t>
      </w:r>
      <w:proofErr w:type="spellStart"/>
      <w:r w:rsidRPr="009D27A9">
        <w:rPr>
          <w:szCs w:val="24"/>
        </w:rPr>
        <w:t>Werding</w:t>
      </w:r>
      <w:proofErr w:type="spellEnd"/>
      <w:r w:rsidRPr="009D27A9">
        <w:rPr>
          <w:szCs w:val="24"/>
        </w:rPr>
        <w:t xml:space="preserve">, “Ageing and the Welfare State: Securing Sustainability.” </w:t>
      </w:r>
      <w:r w:rsidRPr="009D27A9">
        <w:rPr>
          <w:i/>
          <w:szCs w:val="24"/>
        </w:rPr>
        <w:t>Oxford Review of Economic Policy</w:t>
      </w:r>
      <w:r w:rsidRPr="009D27A9">
        <w:rPr>
          <w:szCs w:val="24"/>
        </w:rPr>
        <w:t xml:space="preserve"> vol. 26, no. 4 (2010), pp. 655-62.</w:t>
      </w:r>
    </w:p>
    <w:p w14:paraId="4C0A0505" w14:textId="77777777" w:rsidR="00453C8A" w:rsidRDefault="001F30AA" w:rsidP="00453C8A">
      <w:pPr>
        <w:rPr>
          <w:szCs w:val="24"/>
        </w:rPr>
      </w:pPr>
      <w:r>
        <w:rPr>
          <w:szCs w:val="24"/>
        </w:rPr>
        <w:t>Carl-Ulrik Schierup, “</w:t>
      </w:r>
      <w:r w:rsidR="00453C8A">
        <w:rPr>
          <w:szCs w:val="24"/>
        </w:rPr>
        <w:t>Migration</w:t>
      </w:r>
      <w:r>
        <w:rPr>
          <w:szCs w:val="24"/>
        </w:rPr>
        <w:t xml:space="preserve">, Minorities and Welfare States,” in Christopher Pierson, Francis G. Castles, and Ingela Naumann, eds., </w:t>
      </w:r>
      <w:r w:rsidRPr="001F30AA">
        <w:rPr>
          <w:i/>
          <w:szCs w:val="24"/>
        </w:rPr>
        <w:t>The Welfare State Reader</w:t>
      </w:r>
      <w:r>
        <w:rPr>
          <w:szCs w:val="24"/>
        </w:rPr>
        <w:t xml:space="preserve"> (Polity, 2014). </w:t>
      </w:r>
    </w:p>
    <w:p w14:paraId="304BF0E3" w14:textId="77777777" w:rsidR="00A256D1" w:rsidRDefault="00A256D1" w:rsidP="00453C8A">
      <w:pPr>
        <w:rPr>
          <w:szCs w:val="24"/>
        </w:rPr>
      </w:pPr>
    </w:p>
    <w:p w14:paraId="7B447F1E" w14:textId="7BAC6FE7" w:rsidR="00A256D1" w:rsidRDefault="00A256D1" w:rsidP="00453C8A">
      <w:pPr>
        <w:rPr>
          <w:szCs w:val="24"/>
        </w:rPr>
      </w:pPr>
      <w:r w:rsidRPr="00555455">
        <w:rPr>
          <w:b/>
          <w:bCs/>
          <w:szCs w:val="24"/>
        </w:rPr>
        <w:t>**Break</w:t>
      </w:r>
      <w:r>
        <w:rPr>
          <w:szCs w:val="24"/>
        </w:rPr>
        <w:t>: No session February 21</w:t>
      </w:r>
    </w:p>
    <w:p w14:paraId="376F63D6" w14:textId="77777777" w:rsidR="00876EC7" w:rsidRDefault="00876EC7" w:rsidP="00453C8A">
      <w:pPr>
        <w:rPr>
          <w:szCs w:val="24"/>
        </w:rPr>
      </w:pPr>
    </w:p>
    <w:p w14:paraId="465DAEBB" w14:textId="36ED407D" w:rsidR="00453C8A" w:rsidRPr="00453C8A" w:rsidRDefault="00453C8A" w:rsidP="00453C8A">
      <w:pPr>
        <w:rPr>
          <w:b/>
          <w:szCs w:val="24"/>
        </w:rPr>
      </w:pPr>
      <w:r w:rsidRPr="00453C8A">
        <w:rPr>
          <w:b/>
          <w:szCs w:val="24"/>
        </w:rPr>
        <w:t>Week S</w:t>
      </w:r>
      <w:r w:rsidR="00510B21">
        <w:rPr>
          <w:b/>
          <w:szCs w:val="24"/>
        </w:rPr>
        <w:t>even</w:t>
      </w:r>
      <w:r w:rsidR="00433C49">
        <w:rPr>
          <w:b/>
          <w:szCs w:val="24"/>
        </w:rPr>
        <w:t>:</w:t>
      </w:r>
      <w:r w:rsidRPr="00453C8A">
        <w:rPr>
          <w:b/>
          <w:szCs w:val="24"/>
        </w:rPr>
        <w:t xml:space="preserve"> </w:t>
      </w:r>
      <w:r w:rsidR="00A02533">
        <w:rPr>
          <w:b/>
          <w:szCs w:val="24"/>
        </w:rPr>
        <w:t>The New Politics of the Welfare State</w:t>
      </w:r>
    </w:p>
    <w:p w14:paraId="13050E6F" w14:textId="6DC8F47F" w:rsidR="00453C8A" w:rsidRDefault="00453C8A" w:rsidP="00B33585">
      <w:pPr>
        <w:rPr>
          <w:szCs w:val="24"/>
        </w:rPr>
      </w:pPr>
      <w:r>
        <w:rPr>
          <w:szCs w:val="24"/>
        </w:rPr>
        <w:t>(</w:t>
      </w:r>
      <w:r w:rsidR="00A256D1">
        <w:rPr>
          <w:szCs w:val="24"/>
        </w:rPr>
        <w:t>February 28</w:t>
      </w:r>
      <w:r>
        <w:rPr>
          <w:szCs w:val="24"/>
        </w:rPr>
        <w:t>)</w:t>
      </w:r>
    </w:p>
    <w:p w14:paraId="44076B47" w14:textId="77777777" w:rsidR="00453C8A" w:rsidRDefault="00453C8A" w:rsidP="00B33585">
      <w:pPr>
        <w:rPr>
          <w:szCs w:val="24"/>
        </w:rPr>
      </w:pPr>
    </w:p>
    <w:p w14:paraId="6BAB4A0C" w14:textId="77777777" w:rsidR="00453C8A" w:rsidRDefault="00453C8A" w:rsidP="00453C8A">
      <w:pPr>
        <w:rPr>
          <w:szCs w:val="24"/>
        </w:rPr>
      </w:pPr>
      <w:r w:rsidRPr="009D27A9">
        <w:rPr>
          <w:szCs w:val="24"/>
        </w:rPr>
        <w:t xml:space="preserve">Paul Pierson, </w:t>
      </w:r>
      <w:r w:rsidRPr="009D27A9">
        <w:rPr>
          <w:i/>
          <w:szCs w:val="24"/>
        </w:rPr>
        <w:t>Dismantling the Welfare State? Reagan, Thatcher, and the Politics of Retrenchment</w:t>
      </w:r>
      <w:r w:rsidRPr="009D27A9">
        <w:rPr>
          <w:szCs w:val="24"/>
        </w:rPr>
        <w:t xml:space="preserve"> (Cambridge University Press, 1994), Introduction, chapters 1</w:t>
      </w:r>
      <w:r w:rsidR="007B3AD5">
        <w:rPr>
          <w:szCs w:val="24"/>
        </w:rPr>
        <w:t xml:space="preserve"> and 2.</w:t>
      </w:r>
      <w:r w:rsidRPr="009D27A9">
        <w:rPr>
          <w:szCs w:val="24"/>
        </w:rPr>
        <w:t xml:space="preserve"> </w:t>
      </w:r>
    </w:p>
    <w:p w14:paraId="2544A499" w14:textId="77777777" w:rsidR="00453C8A" w:rsidRDefault="00453C8A" w:rsidP="00453C8A">
      <w:pPr>
        <w:rPr>
          <w:szCs w:val="24"/>
        </w:rPr>
      </w:pPr>
      <w:r>
        <w:rPr>
          <w:szCs w:val="24"/>
        </w:rPr>
        <w:t xml:space="preserve">Martin </w:t>
      </w:r>
      <w:proofErr w:type="spellStart"/>
      <w:r>
        <w:rPr>
          <w:szCs w:val="24"/>
        </w:rPr>
        <w:t>Seeleib</w:t>
      </w:r>
      <w:proofErr w:type="spellEnd"/>
      <w:r>
        <w:rPr>
          <w:szCs w:val="24"/>
        </w:rPr>
        <w:t xml:space="preserve">-Kaiser, “The End of the Conservative German Welfare State Model.” </w:t>
      </w:r>
      <w:r w:rsidRPr="00380125">
        <w:rPr>
          <w:i/>
          <w:szCs w:val="24"/>
        </w:rPr>
        <w:t>Social Policy and Administration</w:t>
      </w:r>
      <w:r>
        <w:rPr>
          <w:szCs w:val="24"/>
        </w:rPr>
        <w:t xml:space="preserve"> vol. 50, no. 2 (March 2016). </w:t>
      </w:r>
    </w:p>
    <w:p w14:paraId="556B4D55" w14:textId="77777777" w:rsidR="00453C8A" w:rsidRDefault="00453C8A" w:rsidP="00453C8A">
      <w:pPr>
        <w:rPr>
          <w:szCs w:val="24"/>
        </w:rPr>
      </w:pPr>
      <w:r w:rsidRPr="009D27A9">
        <w:rPr>
          <w:szCs w:val="24"/>
        </w:rPr>
        <w:t xml:space="preserve">Barbara Vis, “Taking Stock of the Comparative Literature on the Role of Blame Avoidance Strategies in Social Policy Reform.” </w:t>
      </w:r>
      <w:r w:rsidRPr="009D27A9">
        <w:rPr>
          <w:i/>
          <w:szCs w:val="24"/>
        </w:rPr>
        <w:t>Journal of Comparative Policy Analysis</w:t>
      </w:r>
      <w:r w:rsidRPr="009D27A9">
        <w:rPr>
          <w:szCs w:val="24"/>
        </w:rPr>
        <w:t xml:space="preserve"> vol. 18, no. 2 (2016). </w:t>
      </w:r>
    </w:p>
    <w:p w14:paraId="3C585BBE" w14:textId="77777777" w:rsidR="00D63C54" w:rsidRDefault="00D63C54" w:rsidP="00453C8A">
      <w:pPr>
        <w:rPr>
          <w:szCs w:val="24"/>
        </w:rPr>
      </w:pPr>
    </w:p>
    <w:p w14:paraId="5F77C376" w14:textId="6965480F" w:rsidR="00A33612" w:rsidRPr="000D23A5" w:rsidRDefault="000509A4" w:rsidP="00453C8A">
      <w:pPr>
        <w:rPr>
          <w:b/>
          <w:szCs w:val="24"/>
        </w:rPr>
      </w:pPr>
      <w:r>
        <w:rPr>
          <w:b/>
          <w:szCs w:val="24"/>
        </w:rPr>
        <w:t xml:space="preserve">Week </w:t>
      </w:r>
      <w:r w:rsidR="00F527C0">
        <w:rPr>
          <w:b/>
          <w:szCs w:val="24"/>
        </w:rPr>
        <w:t>Eight</w:t>
      </w:r>
      <w:r>
        <w:rPr>
          <w:b/>
          <w:szCs w:val="24"/>
        </w:rPr>
        <w:t xml:space="preserve">: </w:t>
      </w:r>
      <w:r w:rsidR="00076DB2">
        <w:rPr>
          <w:b/>
          <w:szCs w:val="24"/>
        </w:rPr>
        <w:t>Reform and Reconfiguration</w:t>
      </w:r>
    </w:p>
    <w:p w14:paraId="10927524" w14:textId="563EB132" w:rsidR="00A33612" w:rsidRDefault="000D23A5" w:rsidP="00453C8A">
      <w:pPr>
        <w:rPr>
          <w:szCs w:val="24"/>
        </w:rPr>
      </w:pPr>
      <w:r>
        <w:rPr>
          <w:szCs w:val="24"/>
        </w:rPr>
        <w:t>(</w:t>
      </w:r>
      <w:r w:rsidR="007B0A0A">
        <w:rPr>
          <w:szCs w:val="24"/>
        </w:rPr>
        <w:t xml:space="preserve">March </w:t>
      </w:r>
      <w:r w:rsidR="002169A3">
        <w:rPr>
          <w:szCs w:val="24"/>
        </w:rPr>
        <w:t>6</w:t>
      </w:r>
      <w:r w:rsidR="000509A4">
        <w:rPr>
          <w:szCs w:val="24"/>
        </w:rPr>
        <w:t>)</w:t>
      </w:r>
    </w:p>
    <w:p w14:paraId="5DA48F70" w14:textId="77777777" w:rsidR="000D23A5" w:rsidRDefault="000D23A5" w:rsidP="00453C8A">
      <w:pPr>
        <w:rPr>
          <w:szCs w:val="24"/>
        </w:rPr>
      </w:pPr>
    </w:p>
    <w:p w14:paraId="0D1F9FB8" w14:textId="77777777" w:rsidR="000D23A5" w:rsidRPr="009D27A9" w:rsidRDefault="000D23A5" w:rsidP="000D23A5">
      <w:pPr>
        <w:rPr>
          <w:szCs w:val="24"/>
        </w:rPr>
      </w:pPr>
      <w:r w:rsidRPr="009D27A9">
        <w:rPr>
          <w:szCs w:val="24"/>
        </w:rPr>
        <w:t xml:space="preserve">Kees van Kersbergen and Anton </w:t>
      </w:r>
      <w:proofErr w:type="spellStart"/>
      <w:r w:rsidRPr="009D27A9">
        <w:rPr>
          <w:szCs w:val="24"/>
        </w:rPr>
        <w:t>Hemerijck</w:t>
      </w:r>
      <w:proofErr w:type="spellEnd"/>
      <w:r w:rsidRPr="009D27A9">
        <w:rPr>
          <w:szCs w:val="24"/>
        </w:rPr>
        <w:t xml:space="preserve">, “Two Decades of Change in Europe: The Emergence of the Social Investment State.” </w:t>
      </w:r>
      <w:r w:rsidRPr="009D27A9">
        <w:rPr>
          <w:i/>
          <w:szCs w:val="24"/>
        </w:rPr>
        <w:t>Journal of Social Policy</w:t>
      </w:r>
      <w:r w:rsidRPr="009D27A9">
        <w:rPr>
          <w:szCs w:val="24"/>
        </w:rPr>
        <w:t xml:space="preserve"> vol. 41, no. 3 (2012).</w:t>
      </w:r>
    </w:p>
    <w:p w14:paraId="113F1C21" w14:textId="77777777" w:rsidR="000D23A5" w:rsidRDefault="000D23A5" w:rsidP="000D23A5">
      <w:pPr>
        <w:rPr>
          <w:szCs w:val="24"/>
        </w:rPr>
      </w:pPr>
      <w:r w:rsidRPr="009D27A9">
        <w:rPr>
          <w:szCs w:val="24"/>
        </w:rPr>
        <w:t xml:space="preserve">Kati </w:t>
      </w:r>
      <w:proofErr w:type="spellStart"/>
      <w:r w:rsidRPr="009D27A9">
        <w:rPr>
          <w:szCs w:val="24"/>
        </w:rPr>
        <w:t>Kuitto</w:t>
      </w:r>
      <w:proofErr w:type="spellEnd"/>
      <w:r w:rsidRPr="009D27A9">
        <w:rPr>
          <w:szCs w:val="24"/>
        </w:rPr>
        <w:t xml:space="preserve">, “From Social Security to Social Investment? Compensating and Social Investment Welfare Policies in a Life-Course Perspective.” </w:t>
      </w:r>
      <w:r w:rsidRPr="009D27A9">
        <w:rPr>
          <w:i/>
          <w:szCs w:val="24"/>
        </w:rPr>
        <w:t>Journal of European Social Policy</w:t>
      </w:r>
      <w:r w:rsidRPr="009D27A9">
        <w:rPr>
          <w:szCs w:val="24"/>
        </w:rPr>
        <w:t xml:space="preserve"> vol. 26, no. 5 (2016). </w:t>
      </w:r>
    </w:p>
    <w:p w14:paraId="1B0D0DD1" w14:textId="75566928" w:rsidR="000304E8" w:rsidRDefault="00370507" w:rsidP="000D23A5">
      <w:pPr>
        <w:rPr>
          <w:szCs w:val="24"/>
        </w:rPr>
      </w:pPr>
      <w:r>
        <w:rPr>
          <w:szCs w:val="24"/>
        </w:rPr>
        <w:t>Paula Blomqvist and Joakim Palme, “</w:t>
      </w:r>
      <w:r w:rsidR="00CA0974">
        <w:rPr>
          <w:szCs w:val="24"/>
        </w:rPr>
        <w:t xml:space="preserve">Universalism in Welfare Policy: The Swedish Case beyond 1990.” </w:t>
      </w:r>
      <w:r w:rsidR="00CA0974" w:rsidRPr="0069083A">
        <w:rPr>
          <w:i/>
          <w:iCs/>
          <w:szCs w:val="24"/>
        </w:rPr>
        <w:t>Social Inclusion</w:t>
      </w:r>
      <w:r w:rsidR="00CA0974">
        <w:rPr>
          <w:szCs w:val="24"/>
        </w:rPr>
        <w:t xml:space="preserve"> </w:t>
      </w:r>
      <w:r w:rsidR="0069083A">
        <w:rPr>
          <w:szCs w:val="24"/>
        </w:rPr>
        <w:t>vol. 8, no. 1 (2020).</w:t>
      </w:r>
    </w:p>
    <w:p w14:paraId="176C3AD1" w14:textId="77777777" w:rsidR="000D23A5" w:rsidRDefault="000D23A5" w:rsidP="000D23A5">
      <w:pPr>
        <w:rPr>
          <w:szCs w:val="24"/>
        </w:rPr>
      </w:pPr>
      <w:r w:rsidRPr="009D27A9">
        <w:rPr>
          <w:szCs w:val="24"/>
        </w:rPr>
        <w:t xml:space="preserve">Giuliani </w:t>
      </w:r>
      <w:proofErr w:type="spellStart"/>
      <w:r w:rsidRPr="009D27A9">
        <w:rPr>
          <w:szCs w:val="24"/>
        </w:rPr>
        <w:t>Bonoli</w:t>
      </w:r>
      <w:proofErr w:type="spellEnd"/>
      <w:r w:rsidRPr="009D27A9">
        <w:rPr>
          <w:szCs w:val="24"/>
        </w:rPr>
        <w:t xml:space="preserve">, “The Political Economy of Active </w:t>
      </w:r>
      <w:proofErr w:type="spellStart"/>
      <w:r w:rsidRPr="009D27A9">
        <w:rPr>
          <w:szCs w:val="24"/>
        </w:rPr>
        <w:t>Labour</w:t>
      </w:r>
      <w:proofErr w:type="spellEnd"/>
      <w:r w:rsidRPr="009D27A9">
        <w:rPr>
          <w:szCs w:val="24"/>
        </w:rPr>
        <w:t xml:space="preserve"> Market Policy.” </w:t>
      </w:r>
      <w:r w:rsidRPr="009D27A9">
        <w:rPr>
          <w:i/>
          <w:szCs w:val="24"/>
        </w:rPr>
        <w:t>Politics &amp; Society</w:t>
      </w:r>
      <w:r w:rsidRPr="009D27A9">
        <w:rPr>
          <w:szCs w:val="24"/>
        </w:rPr>
        <w:t xml:space="preserve"> vol. 38, no. 4 (2010).</w:t>
      </w:r>
    </w:p>
    <w:p w14:paraId="2E191D19" w14:textId="77777777" w:rsidR="000D23A5" w:rsidRPr="009D27A9" w:rsidRDefault="000D23A5" w:rsidP="000D23A5">
      <w:pPr>
        <w:rPr>
          <w:szCs w:val="24"/>
        </w:rPr>
      </w:pPr>
      <w:r w:rsidRPr="009D27A9">
        <w:rPr>
          <w:szCs w:val="24"/>
        </w:rPr>
        <w:t xml:space="preserve">Jane Gingrich and Silja Hausermann, “The Decline of the Working-Class Vote, the Reconfiguration of the Welfare Support Coalition and Consequences for the Welfare State.” </w:t>
      </w:r>
      <w:r w:rsidRPr="009D27A9">
        <w:rPr>
          <w:i/>
          <w:szCs w:val="24"/>
        </w:rPr>
        <w:t>Journal of European Social Policy</w:t>
      </w:r>
      <w:r w:rsidRPr="009D27A9">
        <w:rPr>
          <w:szCs w:val="24"/>
        </w:rPr>
        <w:t xml:space="preserve"> vol. 25, no. 1 (2015).</w:t>
      </w:r>
    </w:p>
    <w:p w14:paraId="147E1244" w14:textId="77777777" w:rsidR="000D23A5" w:rsidRDefault="000D23A5" w:rsidP="00453C8A">
      <w:pPr>
        <w:rPr>
          <w:szCs w:val="24"/>
        </w:rPr>
      </w:pPr>
    </w:p>
    <w:p w14:paraId="438F676F" w14:textId="1DFC7A2E" w:rsidR="004F4E0A" w:rsidRPr="009D27A9" w:rsidRDefault="004F4E0A" w:rsidP="004F4E0A">
      <w:pPr>
        <w:rPr>
          <w:b/>
          <w:szCs w:val="24"/>
        </w:rPr>
      </w:pPr>
      <w:r>
        <w:rPr>
          <w:b/>
          <w:szCs w:val="24"/>
        </w:rPr>
        <w:t xml:space="preserve">Week </w:t>
      </w:r>
      <w:r w:rsidR="00F42E3E">
        <w:rPr>
          <w:b/>
          <w:szCs w:val="24"/>
        </w:rPr>
        <w:t>Nine</w:t>
      </w:r>
      <w:r w:rsidR="00FA579A">
        <w:rPr>
          <w:b/>
          <w:szCs w:val="24"/>
        </w:rPr>
        <w:t xml:space="preserve">: East Asia I: Productivism and South Korea </w:t>
      </w:r>
      <w:r w:rsidR="00105BF8">
        <w:rPr>
          <w:b/>
          <w:szCs w:val="24"/>
        </w:rPr>
        <w:t>in Comparative Perspective</w:t>
      </w:r>
    </w:p>
    <w:p w14:paraId="6F7FF805" w14:textId="35D6FBA6" w:rsidR="004F4E0A" w:rsidRDefault="004F4E0A" w:rsidP="004F4E0A">
      <w:pPr>
        <w:rPr>
          <w:szCs w:val="24"/>
        </w:rPr>
      </w:pPr>
      <w:r>
        <w:rPr>
          <w:szCs w:val="24"/>
        </w:rPr>
        <w:t>(</w:t>
      </w:r>
      <w:r w:rsidR="002169A3">
        <w:rPr>
          <w:szCs w:val="24"/>
        </w:rPr>
        <w:t>March 13</w:t>
      </w:r>
      <w:r>
        <w:rPr>
          <w:szCs w:val="24"/>
        </w:rPr>
        <w:t>)</w:t>
      </w:r>
    </w:p>
    <w:p w14:paraId="1B5ACAD5" w14:textId="77777777" w:rsidR="004F4E0A" w:rsidRPr="009D27A9" w:rsidRDefault="004F4E0A" w:rsidP="004F4E0A">
      <w:pPr>
        <w:rPr>
          <w:szCs w:val="24"/>
        </w:rPr>
      </w:pPr>
    </w:p>
    <w:p w14:paraId="05242054" w14:textId="77777777" w:rsidR="004F4E0A" w:rsidRDefault="004F4E0A" w:rsidP="004F4E0A">
      <w:pPr>
        <w:rPr>
          <w:szCs w:val="24"/>
        </w:rPr>
      </w:pPr>
      <w:r>
        <w:rPr>
          <w:szCs w:val="24"/>
        </w:rPr>
        <w:t>Ian Holliday, “</w:t>
      </w:r>
      <w:proofErr w:type="spellStart"/>
      <w:r>
        <w:rPr>
          <w:szCs w:val="24"/>
        </w:rPr>
        <w:t>Productivist</w:t>
      </w:r>
      <w:proofErr w:type="spellEnd"/>
      <w:r>
        <w:rPr>
          <w:szCs w:val="24"/>
        </w:rPr>
        <w:t xml:space="preserve"> Welfare Capitalism: Social Policy in East Asia.” </w:t>
      </w:r>
      <w:r w:rsidRPr="002616EA">
        <w:rPr>
          <w:i/>
          <w:szCs w:val="24"/>
        </w:rPr>
        <w:t>Political Studies</w:t>
      </w:r>
      <w:r>
        <w:rPr>
          <w:szCs w:val="24"/>
        </w:rPr>
        <w:t xml:space="preserve"> vol. 48 (2000).</w:t>
      </w:r>
    </w:p>
    <w:p w14:paraId="55F8ECEA" w14:textId="77777777" w:rsidR="004F4E0A" w:rsidRDefault="004F4E0A" w:rsidP="004F4E0A">
      <w:pPr>
        <w:rPr>
          <w:szCs w:val="24"/>
        </w:rPr>
      </w:pPr>
      <w:r>
        <w:rPr>
          <w:szCs w:val="24"/>
        </w:rPr>
        <w:t xml:space="preserve">Mason MS Kim, </w:t>
      </w:r>
      <w:r w:rsidRPr="002616EA">
        <w:rPr>
          <w:i/>
          <w:szCs w:val="24"/>
        </w:rPr>
        <w:t xml:space="preserve">Comparative Welfare Capitalism in East Asia: </w:t>
      </w:r>
      <w:proofErr w:type="spellStart"/>
      <w:r w:rsidRPr="002616EA">
        <w:rPr>
          <w:i/>
          <w:szCs w:val="24"/>
        </w:rPr>
        <w:t>Productivist</w:t>
      </w:r>
      <w:proofErr w:type="spellEnd"/>
      <w:r w:rsidRPr="002616EA">
        <w:rPr>
          <w:i/>
          <w:szCs w:val="24"/>
        </w:rPr>
        <w:t xml:space="preserve"> Models of Social Policy</w:t>
      </w:r>
      <w:r>
        <w:rPr>
          <w:szCs w:val="24"/>
        </w:rPr>
        <w:t xml:space="preserve"> (Palgrave, 2016), chapter 2 (18-35), chapter 3 (pp. 46-68), chapter 4. </w:t>
      </w:r>
    </w:p>
    <w:p w14:paraId="49A5A1E7" w14:textId="77777777" w:rsidR="00115A2B" w:rsidRDefault="00115A2B" w:rsidP="004F4E0A">
      <w:pPr>
        <w:rPr>
          <w:szCs w:val="24"/>
        </w:rPr>
      </w:pPr>
      <w:r>
        <w:rPr>
          <w:szCs w:val="24"/>
        </w:rPr>
        <w:t xml:space="preserve">Niccolo </w:t>
      </w:r>
      <w:proofErr w:type="spellStart"/>
      <w:r>
        <w:rPr>
          <w:szCs w:val="24"/>
        </w:rPr>
        <w:t>Durazzi</w:t>
      </w:r>
      <w:proofErr w:type="spellEnd"/>
      <w:r>
        <w:rPr>
          <w:szCs w:val="24"/>
        </w:rPr>
        <w:t xml:space="preserve">, Timo Fleckenstein, and </w:t>
      </w:r>
      <w:proofErr w:type="spellStart"/>
      <w:r>
        <w:rPr>
          <w:szCs w:val="24"/>
        </w:rPr>
        <w:t>Soohyun</w:t>
      </w:r>
      <w:proofErr w:type="spellEnd"/>
      <w:r>
        <w:rPr>
          <w:szCs w:val="24"/>
        </w:rPr>
        <w:t xml:space="preserve"> Christine Lee, “Social Solidarity for All? Trade Union Strategies, Labor Market Dualization, and the Welfare State in Italy and South Korea.” </w:t>
      </w:r>
      <w:r w:rsidRPr="00115A2B">
        <w:rPr>
          <w:i/>
          <w:szCs w:val="24"/>
        </w:rPr>
        <w:t>Politics &amp; Society</w:t>
      </w:r>
      <w:r>
        <w:rPr>
          <w:szCs w:val="24"/>
        </w:rPr>
        <w:t xml:space="preserve"> vol. 46, no. 2 (2018), pp. 205-10, 218-26 (the rest recommended). </w:t>
      </w:r>
    </w:p>
    <w:p w14:paraId="7240ED09" w14:textId="77777777" w:rsidR="00FA579A" w:rsidRDefault="00FA579A" w:rsidP="004F4E0A">
      <w:pPr>
        <w:rPr>
          <w:szCs w:val="24"/>
        </w:rPr>
      </w:pPr>
    </w:p>
    <w:p w14:paraId="3FD27578" w14:textId="67B732A2" w:rsidR="00FA579A" w:rsidRPr="00FA579A" w:rsidRDefault="00FA579A" w:rsidP="004F4E0A">
      <w:pPr>
        <w:rPr>
          <w:b/>
          <w:szCs w:val="24"/>
        </w:rPr>
      </w:pPr>
      <w:r w:rsidRPr="00FA579A">
        <w:rPr>
          <w:b/>
          <w:szCs w:val="24"/>
        </w:rPr>
        <w:t xml:space="preserve">Week </w:t>
      </w:r>
      <w:r w:rsidR="002F4284">
        <w:rPr>
          <w:b/>
          <w:szCs w:val="24"/>
        </w:rPr>
        <w:t>Ten</w:t>
      </w:r>
      <w:r w:rsidRPr="00FA579A">
        <w:rPr>
          <w:b/>
          <w:szCs w:val="24"/>
        </w:rPr>
        <w:t>: East Asia II: Comparing Japan</w:t>
      </w:r>
      <w:r w:rsidR="00C7171F">
        <w:rPr>
          <w:b/>
          <w:szCs w:val="24"/>
        </w:rPr>
        <w:t>,</w:t>
      </w:r>
      <w:r w:rsidRPr="00FA579A">
        <w:rPr>
          <w:b/>
          <w:szCs w:val="24"/>
        </w:rPr>
        <w:t xml:space="preserve"> Considering Reform </w:t>
      </w:r>
    </w:p>
    <w:p w14:paraId="07F15889" w14:textId="53C015C9" w:rsidR="004F4E0A" w:rsidRDefault="00FA579A" w:rsidP="004F4E0A">
      <w:pPr>
        <w:rPr>
          <w:szCs w:val="24"/>
        </w:rPr>
      </w:pPr>
      <w:r>
        <w:rPr>
          <w:szCs w:val="24"/>
        </w:rPr>
        <w:t>(</w:t>
      </w:r>
      <w:r w:rsidR="00920C74">
        <w:rPr>
          <w:szCs w:val="24"/>
        </w:rPr>
        <w:t>March 2</w:t>
      </w:r>
      <w:r w:rsidR="00BD2E4B">
        <w:rPr>
          <w:szCs w:val="24"/>
        </w:rPr>
        <w:t>0</w:t>
      </w:r>
      <w:r>
        <w:rPr>
          <w:szCs w:val="24"/>
        </w:rPr>
        <w:t>)</w:t>
      </w:r>
    </w:p>
    <w:p w14:paraId="50DE2E60" w14:textId="77777777" w:rsidR="00FA579A" w:rsidRDefault="00FA579A" w:rsidP="004F4E0A">
      <w:pPr>
        <w:rPr>
          <w:szCs w:val="24"/>
        </w:rPr>
      </w:pPr>
    </w:p>
    <w:p w14:paraId="76A5F1F6" w14:textId="77777777" w:rsidR="004F4E0A" w:rsidRPr="009D27A9" w:rsidRDefault="004F4E0A" w:rsidP="004F4E0A">
      <w:pPr>
        <w:rPr>
          <w:szCs w:val="24"/>
        </w:rPr>
      </w:pPr>
      <w:r>
        <w:rPr>
          <w:szCs w:val="24"/>
        </w:rPr>
        <w:t xml:space="preserve">Gregory J. Kasza, “Welfare Policy and War in Japan,” in </w:t>
      </w:r>
      <w:r w:rsidRPr="009D27A9">
        <w:rPr>
          <w:szCs w:val="24"/>
        </w:rPr>
        <w:t xml:space="preserve">Herbert </w:t>
      </w:r>
      <w:proofErr w:type="spellStart"/>
      <w:r w:rsidRPr="009D27A9">
        <w:rPr>
          <w:szCs w:val="24"/>
        </w:rPr>
        <w:t>Obinger</w:t>
      </w:r>
      <w:proofErr w:type="spellEnd"/>
      <w:r w:rsidRPr="009D27A9">
        <w:rPr>
          <w:szCs w:val="24"/>
        </w:rPr>
        <w:t xml:space="preserve">, Klaus Petersen, and Peter Starke, eds., </w:t>
      </w:r>
      <w:r w:rsidRPr="009D27A9">
        <w:rPr>
          <w:i/>
          <w:szCs w:val="24"/>
        </w:rPr>
        <w:t>Warfare and Welfare: Military Conflict and Welfare State Development in Western Countries</w:t>
      </w:r>
      <w:r w:rsidRPr="009D27A9">
        <w:rPr>
          <w:szCs w:val="24"/>
        </w:rPr>
        <w:t xml:space="preserve"> (Oxford, 2018). </w:t>
      </w:r>
    </w:p>
    <w:p w14:paraId="57406972" w14:textId="77777777" w:rsidR="004F4E0A" w:rsidRDefault="004F4E0A" w:rsidP="004F4E0A">
      <w:pPr>
        <w:rPr>
          <w:szCs w:val="24"/>
        </w:rPr>
      </w:pPr>
      <w:r w:rsidRPr="009D27A9">
        <w:rPr>
          <w:szCs w:val="24"/>
        </w:rPr>
        <w:t xml:space="preserve">Margarita Estevez-Abe, </w:t>
      </w:r>
      <w:r w:rsidRPr="009D27A9">
        <w:rPr>
          <w:i/>
          <w:szCs w:val="24"/>
        </w:rPr>
        <w:t>Welfare and Capitalism in Postwar Japan</w:t>
      </w:r>
      <w:r w:rsidRPr="009D27A9">
        <w:rPr>
          <w:szCs w:val="24"/>
        </w:rPr>
        <w:t xml:space="preserve"> (Cambridge, 2008), chapter 1. </w:t>
      </w:r>
    </w:p>
    <w:p w14:paraId="5D1A16A6" w14:textId="77777777" w:rsidR="00A772C6" w:rsidRPr="009D27A9" w:rsidRDefault="00A772C6" w:rsidP="00A772C6">
      <w:pPr>
        <w:rPr>
          <w:szCs w:val="24"/>
        </w:rPr>
      </w:pPr>
      <w:r>
        <w:rPr>
          <w:szCs w:val="24"/>
        </w:rPr>
        <w:t xml:space="preserve">Ito Peng, “The Social Protection Floor and the ‘New’ Social Investment Policies in Japan and South Korea.” </w:t>
      </w:r>
      <w:r w:rsidRPr="000E36C5">
        <w:rPr>
          <w:i/>
          <w:szCs w:val="24"/>
        </w:rPr>
        <w:t>Global Social Policy</w:t>
      </w:r>
      <w:r>
        <w:rPr>
          <w:szCs w:val="24"/>
        </w:rPr>
        <w:t xml:space="preserve"> vol. 14, no. 3 (2014). </w:t>
      </w:r>
    </w:p>
    <w:p w14:paraId="4CE3CF25" w14:textId="77777777" w:rsidR="004F4E0A" w:rsidRDefault="004F4E0A" w:rsidP="004F4E0A">
      <w:pPr>
        <w:rPr>
          <w:szCs w:val="24"/>
        </w:rPr>
      </w:pPr>
      <w:proofErr w:type="spellStart"/>
      <w:r>
        <w:rPr>
          <w:szCs w:val="24"/>
        </w:rPr>
        <w:t>Soohyun</w:t>
      </w:r>
      <w:proofErr w:type="spellEnd"/>
      <w:r>
        <w:rPr>
          <w:szCs w:val="24"/>
        </w:rPr>
        <w:t xml:space="preserve"> Christine Lee, “Democratization, Political Parties and Korean Welfare Politics: Korean Family Policy Reforms in Comparative Perspective.” </w:t>
      </w:r>
      <w:r w:rsidRPr="00240283">
        <w:rPr>
          <w:i/>
          <w:szCs w:val="24"/>
        </w:rPr>
        <w:t>Government and Opposition</w:t>
      </w:r>
      <w:r>
        <w:rPr>
          <w:szCs w:val="24"/>
        </w:rPr>
        <w:t xml:space="preserve"> vol. 53, no. 3 (2018).</w:t>
      </w:r>
    </w:p>
    <w:p w14:paraId="5A8EAD69" w14:textId="77777777" w:rsidR="00A772C6" w:rsidRPr="009D27A9" w:rsidRDefault="00A772C6" w:rsidP="004F4E0A">
      <w:pPr>
        <w:rPr>
          <w:szCs w:val="24"/>
        </w:rPr>
      </w:pPr>
    </w:p>
    <w:p w14:paraId="2E9F6F5C" w14:textId="67A8F0DB" w:rsidR="004F4E0A" w:rsidRPr="009D27A9" w:rsidRDefault="004F4E0A" w:rsidP="004F4E0A">
      <w:pPr>
        <w:rPr>
          <w:szCs w:val="24"/>
        </w:rPr>
      </w:pPr>
      <w:r w:rsidRPr="009D27A9">
        <w:rPr>
          <w:b/>
          <w:szCs w:val="24"/>
        </w:rPr>
        <w:t xml:space="preserve">Week </w:t>
      </w:r>
      <w:r w:rsidR="00092F41">
        <w:rPr>
          <w:b/>
          <w:szCs w:val="24"/>
        </w:rPr>
        <w:t>Eleven</w:t>
      </w:r>
      <w:r w:rsidR="00FA579A">
        <w:rPr>
          <w:b/>
          <w:szCs w:val="24"/>
        </w:rPr>
        <w:t>: Latin America I: Historical Origins and Neoliberalism</w:t>
      </w:r>
      <w:r w:rsidRPr="009D27A9">
        <w:rPr>
          <w:szCs w:val="24"/>
        </w:rPr>
        <w:t xml:space="preserve"> </w:t>
      </w:r>
    </w:p>
    <w:p w14:paraId="357FEA93" w14:textId="2D192842" w:rsidR="004F4E0A" w:rsidRDefault="00FA579A" w:rsidP="004F4E0A">
      <w:pPr>
        <w:rPr>
          <w:szCs w:val="24"/>
        </w:rPr>
      </w:pPr>
      <w:r>
        <w:rPr>
          <w:szCs w:val="24"/>
        </w:rPr>
        <w:t>(</w:t>
      </w:r>
      <w:r w:rsidR="00BD2E4B">
        <w:rPr>
          <w:szCs w:val="24"/>
        </w:rPr>
        <w:t>March 27</w:t>
      </w:r>
      <w:r>
        <w:rPr>
          <w:szCs w:val="24"/>
        </w:rPr>
        <w:t xml:space="preserve">) </w:t>
      </w:r>
    </w:p>
    <w:p w14:paraId="0756CE31" w14:textId="77777777" w:rsidR="00FA579A" w:rsidRPr="009D27A9" w:rsidRDefault="00FA579A" w:rsidP="004F4E0A">
      <w:pPr>
        <w:rPr>
          <w:szCs w:val="24"/>
        </w:rPr>
      </w:pPr>
    </w:p>
    <w:p w14:paraId="2830D78A" w14:textId="77777777" w:rsidR="004F4E0A" w:rsidRDefault="004F4E0A" w:rsidP="004F4E0A">
      <w:pPr>
        <w:rPr>
          <w:szCs w:val="24"/>
        </w:rPr>
      </w:pPr>
      <w:r>
        <w:rPr>
          <w:szCs w:val="24"/>
        </w:rPr>
        <w:t xml:space="preserve">Stephan Haggard and Robert R. Kaufman, </w:t>
      </w:r>
      <w:r w:rsidRPr="0094417E">
        <w:rPr>
          <w:i/>
          <w:szCs w:val="24"/>
        </w:rPr>
        <w:t>Development, Democracy, and Welfare States: Latin America, East Asia, and Eastern Europe</w:t>
      </w:r>
      <w:r>
        <w:rPr>
          <w:szCs w:val="24"/>
        </w:rPr>
        <w:t xml:space="preserve"> (Princeton University Press, 2008), chapter</w:t>
      </w:r>
      <w:r w:rsidR="006C32B4">
        <w:rPr>
          <w:szCs w:val="24"/>
        </w:rPr>
        <w:t>s</w:t>
      </w:r>
      <w:r>
        <w:rPr>
          <w:szCs w:val="24"/>
        </w:rPr>
        <w:t xml:space="preserve"> 1</w:t>
      </w:r>
      <w:r w:rsidR="006C32B4">
        <w:rPr>
          <w:szCs w:val="24"/>
        </w:rPr>
        <w:t xml:space="preserve"> (pp. 56-59, 69-71 optional) and 2</w:t>
      </w:r>
      <w:r>
        <w:rPr>
          <w:szCs w:val="24"/>
        </w:rPr>
        <w:t xml:space="preserve">. </w:t>
      </w:r>
    </w:p>
    <w:p w14:paraId="74C98346" w14:textId="77777777" w:rsidR="004F4E0A" w:rsidRDefault="004F4E0A" w:rsidP="004F4E0A">
      <w:pPr>
        <w:rPr>
          <w:szCs w:val="24"/>
        </w:rPr>
      </w:pPr>
      <w:r>
        <w:rPr>
          <w:szCs w:val="24"/>
        </w:rPr>
        <w:t xml:space="preserve">Evelyne Huber and John D. Stephens, </w:t>
      </w:r>
      <w:proofErr w:type="gramStart"/>
      <w:r w:rsidRPr="0094417E">
        <w:rPr>
          <w:i/>
          <w:szCs w:val="24"/>
        </w:rPr>
        <w:t>Democracy</w:t>
      </w:r>
      <w:proofErr w:type="gramEnd"/>
      <w:r w:rsidRPr="0094417E">
        <w:rPr>
          <w:i/>
          <w:szCs w:val="24"/>
        </w:rPr>
        <w:t xml:space="preserve"> and the Left: Social Policy and Inequality in Latin America</w:t>
      </w:r>
      <w:r>
        <w:rPr>
          <w:szCs w:val="24"/>
        </w:rPr>
        <w:t xml:space="preserve"> (University of Chicago Press, 2012), chapter 6 (pp. 155-77). </w:t>
      </w:r>
    </w:p>
    <w:p w14:paraId="71BE12D5" w14:textId="77777777" w:rsidR="004F4E0A" w:rsidRDefault="004F4E0A" w:rsidP="004F4E0A">
      <w:pPr>
        <w:rPr>
          <w:szCs w:val="24"/>
        </w:rPr>
      </w:pPr>
    </w:p>
    <w:p w14:paraId="31954CA4" w14:textId="2131F172" w:rsidR="00FA579A" w:rsidRPr="00FA579A" w:rsidRDefault="00FA579A" w:rsidP="004F4E0A">
      <w:pPr>
        <w:rPr>
          <w:b/>
          <w:szCs w:val="24"/>
        </w:rPr>
      </w:pPr>
      <w:r w:rsidRPr="00FA579A">
        <w:rPr>
          <w:b/>
          <w:szCs w:val="24"/>
        </w:rPr>
        <w:t xml:space="preserve">Week </w:t>
      </w:r>
      <w:r w:rsidR="00CE6E84">
        <w:rPr>
          <w:b/>
          <w:szCs w:val="24"/>
        </w:rPr>
        <w:t>Twelve</w:t>
      </w:r>
      <w:r w:rsidRPr="00FA579A">
        <w:rPr>
          <w:b/>
          <w:szCs w:val="24"/>
        </w:rPr>
        <w:t>: Latin America II: The Left Turn</w:t>
      </w:r>
      <w:r w:rsidR="002A6B37">
        <w:rPr>
          <w:b/>
          <w:szCs w:val="24"/>
        </w:rPr>
        <w:t>,</w:t>
      </w:r>
      <w:r w:rsidRPr="00FA579A">
        <w:rPr>
          <w:b/>
          <w:szCs w:val="24"/>
        </w:rPr>
        <w:t xml:space="preserve"> </w:t>
      </w:r>
      <w:r w:rsidR="006C32B4">
        <w:rPr>
          <w:b/>
          <w:szCs w:val="24"/>
        </w:rPr>
        <w:t>Basic Universalism</w:t>
      </w:r>
      <w:r w:rsidR="002A6B37">
        <w:rPr>
          <w:b/>
          <w:szCs w:val="24"/>
        </w:rPr>
        <w:t xml:space="preserve">, and the </w:t>
      </w:r>
      <w:r w:rsidR="00746382">
        <w:rPr>
          <w:b/>
          <w:szCs w:val="24"/>
        </w:rPr>
        <w:t>Return of the Right</w:t>
      </w:r>
    </w:p>
    <w:p w14:paraId="47A9F7A9" w14:textId="2438C77F" w:rsidR="00FA579A" w:rsidRDefault="00FA579A" w:rsidP="004F4E0A">
      <w:pPr>
        <w:rPr>
          <w:szCs w:val="24"/>
        </w:rPr>
      </w:pPr>
      <w:r>
        <w:rPr>
          <w:szCs w:val="24"/>
        </w:rPr>
        <w:t>(</w:t>
      </w:r>
      <w:r w:rsidR="00BD2E4B">
        <w:rPr>
          <w:szCs w:val="24"/>
        </w:rPr>
        <w:t>April 3</w:t>
      </w:r>
      <w:r w:rsidR="006C32B4">
        <w:rPr>
          <w:szCs w:val="24"/>
        </w:rPr>
        <w:t>)</w:t>
      </w:r>
    </w:p>
    <w:p w14:paraId="5E8EDE31" w14:textId="77777777" w:rsidR="006C32B4" w:rsidRDefault="006C32B4" w:rsidP="004F4E0A">
      <w:pPr>
        <w:rPr>
          <w:szCs w:val="24"/>
        </w:rPr>
      </w:pPr>
    </w:p>
    <w:p w14:paraId="29EEE8CD" w14:textId="77777777" w:rsidR="004F4E0A" w:rsidRDefault="004F4E0A" w:rsidP="004F4E0A">
      <w:pPr>
        <w:rPr>
          <w:szCs w:val="24"/>
        </w:rPr>
      </w:pPr>
      <w:r>
        <w:rPr>
          <w:szCs w:val="24"/>
        </w:rPr>
        <w:t xml:space="preserve">Huber and Stephens, </w:t>
      </w:r>
      <w:r w:rsidRPr="00693CB3">
        <w:rPr>
          <w:i/>
          <w:szCs w:val="24"/>
        </w:rPr>
        <w:t>Democracy and the Left</w:t>
      </w:r>
      <w:r>
        <w:rPr>
          <w:szCs w:val="24"/>
        </w:rPr>
        <w:t>, chapter 6 (pp. 177-207).</w:t>
      </w:r>
    </w:p>
    <w:p w14:paraId="4D65C2A2" w14:textId="77777777" w:rsidR="004F4E0A" w:rsidRDefault="004F4E0A" w:rsidP="004F4E0A">
      <w:pPr>
        <w:rPr>
          <w:szCs w:val="24"/>
        </w:rPr>
      </w:pPr>
      <w:r w:rsidRPr="009D27A9">
        <w:rPr>
          <w:szCs w:val="24"/>
        </w:rPr>
        <w:t xml:space="preserve">Candelaria Garay, </w:t>
      </w:r>
      <w:r w:rsidRPr="009D27A9">
        <w:rPr>
          <w:i/>
          <w:szCs w:val="24"/>
        </w:rPr>
        <w:t>Social Policy Expansion in Latin America</w:t>
      </w:r>
      <w:r w:rsidRPr="009D27A9">
        <w:rPr>
          <w:szCs w:val="24"/>
        </w:rPr>
        <w:t xml:space="preserve"> (Cambridge, 2016)</w:t>
      </w:r>
      <w:r>
        <w:rPr>
          <w:szCs w:val="24"/>
        </w:rPr>
        <w:t>, chapter 1</w:t>
      </w:r>
      <w:r w:rsidR="00D95CB9">
        <w:rPr>
          <w:szCs w:val="24"/>
        </w:rPr>
        <w:t xml:space="preserve"> (pp. 1-20)</w:t>
      </w:r>
      <w:r w:rsidRPr="009D27A9">
        <w:rPr>
          <w:szCs w:val="24"/>
        </w:rPr>
        <w:t xml:space="preserve">. </w:t>
      </w:r>
    </w:p>
    <w:p w14:paraId="53E8A99A" w14:textId="33A4E1F0" w:rsidR="004F4E0A" w:rsidRDefault="004F4E0A" w:rsidP="004F4E0A">
      <w:pPr>
        <w:rPr>
          <w:szCs w:val="24"/>
        </w:rPr>
      </w:pPr>
      <w:r>
        <w:rPr>
          <w:szCs w:val="24"/>
        </w:rPr>
        <w:t xml:space="preserve">Theodoros Papadopoulos and Ricardo Velazquez Leyer, “Two Decades of Social Investment in Latin America: Outcomes, Shortcomings and Achievements of Conditional Cash Transfers.” </w:t>
      </w:r>
      <w:r w:rsidRPr="00C342AA">
        <w:rPr>
          <w:i/>
          <w:szCs w:val="24"/>
        </w:rPr>
        <w:t>Social Policy and Society</w:t>
      </w:r>
      <w:r>
        <w:rPr>
          <w:szCs w:val="24"/>
        </w:rPr>
        <w:t xml:space="preserve"> vol. 15, no. 3 (2016). </w:t>
      </w:r>
    </w:p>
    <w:p w14:paraId="22125D2F" w14:textId="6A8D6693" w:rsidR="00E33B63" w:rsidRPr="00E33B63" w:rsidRDefault="00E33B63" w:rsidP="004F4E0A">
      <w:pPr>
        <w:rPr>
          <w:szCs w:val="24"/>
          <w:lang w:val="en-CA"/>
        </w:rPr>
      </w:pPr>
      <w:r w:rsidRPr="00E33B63">
        <w:rPr>
          <w:szCs w:val="24"/>
          <w:lang w:val="en-CA"/>
        </w:rPr>
        <w:t>Juan Cruz Ferre, “Social Policy Expansion and S</w:t>
      </w:r>
      <w:r>
        <w:rPr>
          <w:szCs w:val="24"/>
          <w:lang w:val="en-CA"/>
        </w:rPr>
        <w:t>egmentation in the First Two Decades of the 21</w:t>
      </w:r>
      <w:r w:rsidRPr="00E33B63">
        <w:rPr>
          <w:szCs w:val="24"/>
          <w:vertAlign w:val="superscript"/>
          <w:lang w:val="en-CA"/>
        </w:rPr>
        <w:t>st</w:t>
      </w:r>
      <w:r>
        <w:rPr>
          <w:szCs w:val="24"/>
          <w:lang w:val="en-CA"/>
        </w:rPr>
        <w:t xml:space="preserve"> Century in Latin America.” </w:t>
      </w:r>
      <w:r w:rsidR="00E30646" w:rsidRPr="00406828">
        <w:rPr>
          <w:i/>
          <w:iCs/>
          <w:szCs w:val="24"/>
          <w:lang w:val="en-CA"/>
        </w:rPr>
        <w:t>International Journal of Social Welfare</w:t>
      </w:r>
      <w:r w:rsidR="00E30646">
        <w:rPr>
          <w:szCs w:val="24"/>
          <w:lang w:val="en-CA"/>
        </w:rPr>
        <w:t xml:space="preserve"> vol. 32 (2023)</w:t>
      </w:r>
      <w:r w:rsidR="00406828">
        <w:rPr>
          <w:szCs w:val="24"/>
          <w:lang w:val="en-CA"/>
        </w:rPr>
        <w:t xml:space="preserve">. </w:t>
      </w:r>
    </w:p>
    <w:p w14:paraId="1FBF503D" w14:textId="4914783B" w:rsidR="004F4E0A" w:rsidRPr="00767B59" w:rsidRDefault="004F4E0A" w:rsidP="004F4E0A">
      <w:pPr>
        <w:rPr>
          <w:szCs w:val="24"/>
          <w:lang w:val="en-CA"/>
        </w:rPr>
      </w:pPr>
    </w:p>
    <w:p w14:paraId="3A192940" w14:textId="77777777" w:rsidR="00380125" w:rsidRPr="009D27A9" w:rsidRDefault="00380125" w:rsidP="00B33585">
      <w:pPr>
        <w:rPr>
          <w:szCs w:val="24"/>
        </w:rPr>
      </w:pPr>
    </w:p>
    <w:p w14:paraId="72505244" w14:textId="77777777" w:rsidR="00B33585" w:rsidRPr="009D27A9" w:rsidRDefault="00B33585" w:rsidP="00FE25DA">
      <w:pPr>
        <w:rPr>
          <w:szCs w:val="24"/>
        </w:rPr>
      </w:pPr>
    </w:p>
    <w:sectPr w:rsidR="00B33585" w:rsidRPr="009D27A9" w:rsidSect="003C0115">
      <w:pgSz w:w="12240" w:h="15840"/>
      <w:pgMar w:top="1008" w:right="1008" w:bottom="1008" w:left="1008" w:header="1008"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46627"/>
    <w:multiLevelType w:val="hybridMultilevel"/>
    <w:tmpl w:val="C7D494B2"/>
    <w:lvl w:ilvl="0" w:tplc="273231E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80201A0"/>
    <w:multiLevelType w:val="hybridMultilevel"/>
    <w:tmpl w:val="0BC24B68"/>
    <w:lvl w:ilvl="0" w:tplc="B75E30C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1DC67AE"/>
    <w:multiLevelType w:val="hybridMultilevel"/>
    <w:tmpl w:val="2BDAB3DA"/>
    <w:lvl w:ilvl="0" w:tplc="03B8E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8360020">
    <w:abstractNumId w:val="2"/>
  </w:num>
  <w:num w:numId="2" w16cid:durableId="1535999207">
    <w:abstractNumId w:val="0"/>
  </w:num>
  <w:num w:numId="3" w16cid:durableId="37312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85"/>
    <w:rsid w:val="000144E0"/>
    <w:rsid w:val="00017021"/>
    <w:rsid w:val="0003037B"/>
    <w:rsid w:val="000304E8"/>
    <w:rsid w:val="000318C4"/>
    <w:rsid w:val="00036776"/>
    <w:rsid w:val="000448EA"/>
    <w:rsid w:val="000509A4"/>
    <w:rsid w:val="00074CA7"/>
    <w:rsid w:val="00076DB2"/>
    <w:rsid w:val="00092F41"/>
    <w:rsid w:val="000A0553"/>
    <w:rsid w:val="000B6C49"/>
    <w:rsid w:val="000C3EC3"/>
    <w:rsid w:val="000D23A5"/>
    <w:rsid w:val="000D6CCF"/>
    <w:rsid w:val="000D6ED9"/>
    <w:rsid w:val="000E36C5"/>
    <w:rsid w:val="00105BF8"/>
    <w:rsid w:val="00106B48"/>
    <w:rsid w:val="00107E6E"/>
    <w:rsid w:val="00115A2B"/>
    <w:rsid w:val="00130F4C"/>
    <w:rsid w:val="001326DF"/>
    <w:rsid w:val="0015750A"/>
    <w:rsid w:val="0017155C"/>
    <w:rsid w:val="001771CC"/>
    <w:rsid w:val="001F30AA"/>
    <w:rsid w:val="0021655E"/>
    <w:rsid w:val="002169A3"/>
    <w:rsid w:val="00217A71"/>
    <w:rsid w:val="002219FB"/>
    <w:rsid w:val="00224B2E"/>
    <w:rsid w:val="00233451"/>
    <w:rsid w:val="00240283"/>
    <w:rsid w:val="0024445F"/>
    <w:rsid w:val="00244C95"/>
    <w:rsid w:val="002616EA"/>
    <w:rsid w:val="002623BD"/>
    <w:rsid w:val="002742B9"/>
    <w:rsid w:val="00276B60"/>
    <w:rsid w:val="0028208A"/>
    <w:rsid w:val="002958EE"/>
    <w:rsid w:val="002A6B37"/>
    <w:rsid w:val="002F4284"/>
    <w:rsid w:val="00301AD6"/>
    <w:rsid w:val="00303C6E"/>
    <w:rsid w:val="0030647E"/>
    <w:rsid w:val="003117B0"/>
    <w:rsid w:val="00367801"/>
    <w:rsid w:val="00370507"/>
    <w:rsid w:val="00374E01"/>
    <w:rsid w:val="00380125"/>
    <w:rsid w:val="003819B1"/>
    <w:rsid w:val="00381D3E"/>
    <w:rsid w:val="00393341"/>
    <w:rsid w:val="00396717"/>
    <w:rsid w:val="003B3006"/>
    <w:rsid w:val="003C48F3"/>
    <w:rsid w:val="003D29D8"/>
    <w:rsid w:val="003F018C"/>
    <w:rsid w:val="00406828"/>
    <w:rsid w:val="00416399"/>
    <w:rsid w:val="00426B56"/>
    <w:rsid w:val="00430244"/>
    <w:rsid w:val="00433C49"/>
    <w:rsid w:val="00435DF0"/>
    <w:rsid w:val="00435FC2"/>
    <w:rsid w:val="004472DC"/>
    <w:rsid w:val="00451AB4"/>
    <w:rsid w:val="00453854"/>
    <w:rsid w:val="00453C8A"/>
    <w:rsid w:val="00462C1D"/>
    <w:rsid w:val="00471CEA"/>
    <w:rsid w:val="0047409E"/>
    <w:rsid w:val="00474940"/>
    <w:rsid w:val="004766AE"/>
    <w:rsid w:val="0049028D"/>
    <w:rsid w:val="00495008"/>
    <w:rsid w:val="00496B17"/>
    <w:rsid w:val="004B159E"/>
    <w:rsid w:val="004B710D"/>
    <w:rsid w:val="004C2561"/>
    <w:rsid w:val="004C28E1"/>
    <w:rsid w:val="004C4FC7"/>
    <w:rsid w:val="004E2B4A"/>
    <w:rsid w:val="004E2FFF"/>
    <w:rsid w:val="004F2CCD"/>
    <w:rsid w:val="004F4E0A"/>
    <w:rsid w:val="0050357D"/>
    <w:rsid w:val="0050547F"/>
    <w:rsid w:val="00510B21"/>
    <w:rsid w:val="00523C1A"/>
    <w:rsid w:val="0053364C"/>
    <w:rsid w:val="00535110"/>
    <w:rsid w:val="005379FD"/>
    <w:rsid w:val="00540807"/>
    <w:rsid w:val="00540940"/>
    <w:rsid w:val="00555455"/>
    <w:rsid w:val="00575488"/>
    <w:rsid w:val="005914E7"/>
    <w:rsid w:val="00596490"/>
    <w:rsid w:val="005A56A7"/>
    <w:rsid w:val="005B72EE"/>
    <w:rsid w:val="005C3925"/>
    <w:rsid w:val="005C5444"/>
    <w:rsid w:val="005C546F"/>
    <w:rsid w:val="005D4202"/>
    <w:rsid w:val="005E34B9"/>
    <w:rsid w:val="005E68DE"/>
    <w:rsid w:val="005F1A61"/>
    <w:rsid w:val="005F7C35"/>
    <w:rsid w:val="00614C07"/>
    <w:rsid w:val="00624A86"/>
    <w:rsid w:val="006367F9"/>
    <w:rsid w:val="00660883"/>
    <w:rsid w:val="00663FF2"/>
    <w:rsid w:val="00671397"/>
    <w:rsid w:val="00675CE3"/>
    <w:rsid w:val="00677292"/>
    <w:rsid w:val="00683F79"/>
    <w:rsid w:val="0069083A"/>
    <w:rsid w:val="00693CB3"/>
    <w:rsid w:val="006C32B4"/>
    <w:rsid w:val="006E1D26"/>
    <w:rsid w:val="00706A91"/>
    <w:rsid w:val="007118E0"/>
    <w:rsid w:val="00746382"/>
    <w:rsid w:val="0075420B"/>
    <w:rsid w:val="00755CE4"/>
    <w:rsid w:val="00760F92"/>
    <w:rsid w:val="00762ADD"/>
    <w:rsid w:val="0076362B"/>
    <w:rsid w:val="00765400"/>
    <w:rsid w:val="00767B59"/>
    <w:rsid w:val="00774D86"/>
    <w:rsid w:val="00777ADC"/>
    <w:rsid w:val="00787562"/>
    <w:rsid w:val="007A2785"/>
    <w:rsid w:val="007A4CBD"/>
    <w:rsid w:val="007B0A0A"/>
    <w:rsid w:val="007B3AD5"/>
    <w:rsid w:val="007C327D"/>
    <w:rsid w:val="007C68B0"/>
    <w:rsid w:val="00805D72"/>
    <w:rsid w:val="00832AEC"/>
    <w:rsid w:val="00836F1F"/>
    <w:rsid w:val="00862131"/>
    <w:rsid w:val="008665F2"/>
    <w:rsid w:val="00876EC7"/>
    <w:rsid w:val="008811EE"/>
    <w:rsid w:val="00885444"/>
    <w:rsid w:val="00886A4B"/>
    <w:rsid w:val="00897491"/>
    <w:rsid w:val="008A211A"/>
    <w:rsid w:val="008A5397"/>
    <w:rsid w:val="008B3974"/>
    <w:rsid w:val="008C28C4"/>
    <w:rsid w:val="008E42E5"/>
    <w:rsid w:val="008F28DB"/>
    <w:rsid w:val="009146ED"/>
    <w:rsid w:val="0091580C"/>
    <w:rsid w:val="00920C74"/>
    <w:rsid w:val="0092518A"/>
    <w:rsid w:val="00927B32"/>
    <w:rsid w:val="00932D42"/>
    <w:rsid w:val="0094417E"/>
    <w:rsid w:val="00957996"/>
    <w:rsid w:val="009623F6"/>
    <w:rsid w:val="00965130"/>
    <w:rsid w:val="0096584B"/>
    <w:rsid w:val="009769EE"/>
    <w:rsid w:val="0097739A"/>
    <w:rsid w:val="00993BDB"/>
    <w:rsid w:val="009A14F5"/>
    <w:rsid w:val="009A1F9C"/>
    <w:rsid w:val="009A7CBA"/>
    <w:rsid w:val="009C5FCB"/>
    <w:rsid w:val="009D5EBB"/>
    <w:rsid w:val="009F003A"/>
    <w:rsid w:val="00A01613"/>
    <w:rsid w:val="00A02533"/>
    <w:rsid w:val="00A13175"/>
    <w:rsid w:val="00A22B0B"/>
    <w:rsid w:val="00A235AE"/>
    <w:rsid w:val="00A25627"/>
    <w:rsid w:val="00A256D1"/>
    <w:rsid w:val="00A27B04"/>
    <w:rsid w:val="00A27C3D"/>
    <w:rsid w:val="00A33612"/>
    <w:rsid w:val="00A571E5"/>
    <w:rsid w:val="00A57D30"/>
    <w:rsid w:val="00A67282"/>
    <w:rsid w:val="00A72428"/>
    <w:rsid w:val="00A772C6"/>
    <w:rsid w:val="00A95ABD"/>
    <w:rsid w:val="00AB1358"/>
    <w:rsid w:val="00AF39E4"/>
    <w:rsid w:val="00B1503F"/>
    <w:rsid w:val="00B25D09"/>
    <w:rsid w:val="00B33585"/>
    <w:rsid w:val="00B5222F"/>
    <w:rsid w:val="00B54A5A"/>
    <w:rsid w:val="00B56EEC"/>
    <w:rsid w:val="00B64774"/>
    <w:rsid w:val="00B65A89"/>
    <w:rsid w:val="00BA0B3E"/>
    <w:rsid w:val="00BA7564"/>
    <w:rsid w:val="00BB434D"/>
    <w:rsid w:val="00BD2E4B"/>
    <w:rsid w:val="00BF0EC3"/>
    <w:rsid w:val="00BF3883"/>
    <w:rsid w:val="00BF5DC7"/>
    <w:rsid w:val="00C032D2"/>
    <w:rsid w:val="00C17311"/>
    <w:rsid w:val="00C21C12"/>
    <w:rsid w:val="00C21E6C"/>
    <w:rsid w:val="00C342AA"/>
    <w:rsid w:val="00C56734"/>
    <w:rsid w:val="00C601C7"/>
    <w:rsid w:val="00C622A0"/>
    <w:rsid w:val="00C655BF"/>
    <w:rsid w:val="00C663E7"/>
    <w:rsid w:val="00C67B82"/>
    <w:rsid w:val="00C7171F"/>
    <w:rsid w:val="00C72B91"/>
    <w:rsid w:val="00C830D7"/>
    <w:rsid w:val="00C95B48"/>
    <w:rsid w:val="00CA0974"/>
    <w:rsid w:val="00CA3A45"/>
    <w:rsid w:val="00CB092F"/>
    <w:rsid w:val="00CC2F2F"/>
    <w:rsid w:val="00CC4DD9"/>
    <w:rsid w:val="00CC79F2"/>
    <w:rsid w:val="00CD6CD6"/>
    <w:rsid w:val="00CD6EE4"/>
    <w:rsid w:val="00CD75CF"/>
    <w:rsid w:val="00CE5D43"/>
    <w:rsid w:val="00CE5EF3"/>
    <w:rsid w:val="00CE6E84"/>
    <w:rsid w:val="00CF5E18"/>
    <w:rsid w:val="00D05CD6"/>
    <w:rsid w:val="00D0785C"/>
    <w:rsid w:val="00D10D92"/>
    <w:rsid w:val="00D2204C"/>
    <w:rsid w:val="00D474FA"/>
    <w:rsid w:val="00D55CF7"/>
    <w:rsid w:val="00D63C54"/>
    <w:rsid w:val="00D73E02"/>
    <w:rsid w:val="00D7566F"/>
    <w:rsid w:val="00D773B9"/>
    <w:rsid w:val="00D95CB9"/>
    <w:rsid w:val="00DA58E4"/>
    <w:rsid w:val="00DD4EF7"/>
    <w:rsid w:val="00DD7375"/>
    <w:rsid w:val="00DF32D1"/>
    <w:rsid w:val="00E107E1"/>
    <w:rsid w:val="00E30646"/>
    <w:rsid w:val="00E30BE9"/>
    <w:rsid w:val="00E33B63"/>
    <w:rsid w:val="00E37679"/>
    <w:rsid w:val="00E523F5"/>
    <w:rsid w:val="00E70013"/>
    <w:rsid w:val="00E85F57"/>
    <w:rsid w:val="00EA0530"/>
    <w:rsid w:val="00EA2A57"/>
    <w:rsid w:val="00EF1242"/>
    <w:rsid w:val="00F13C9D"/>
    <w:rsid w:val="00F15449"/>
    <w:rsid w:val="00F2523A"/>
    <w:rsid w:val="00F42733"/>
    <w:rsid w:val="00F42E3E"/>
    <w:rsid w:val="00F442F9"/>
    <w:rsid w:val="00F50A21"/>
    <w:rsid w:val="00F518DD"/>
    <w:rsid w:val="00F527C0"/>
    <w:rsid w:val="00F554B8"/>
    <w:rsid w:val="00F57058"/>
    <w:rsid w:val="00F941C0"/>
    <w:rsid w:val="00FA579A"/>
    <w:rsid w:val="00FB7560"/>
    <w:rsid w:val="00FE02E1"/>
    <w:rsid w:val="00FE25DA"/>
    <w:rsid w:val="00FE4864"/>
    <w:rsid w:val="00FF41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0796"/>
  <w15:chartTrackingRefBased/>
  <w15:docId w15:val="{1766EE7F-6914-4EA7-A98D-26D1EDEA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85"/>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B33585"/>
    <w:pPr>
      <w:keepNext/>
      <w:outlineLvl w:val="0"/>
    </w:pPr>
    <w:rPr>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585"/>
    <w:rPr>
      <w:rFonts w:ascii="Times New Roman" w:eastAsia="Times New Roman" w:hAnsi="Times New Roman" w:cs="Times New Roman"/>
      <w:b/>
      <w:sz w:val="20"/>
      <w:szCs w:val="20"/>
      <w:lang w:val="en-GB"/>
    </w:rPr>
  </w:style>
  <w:style w:type="character" w:styleId="Hyperlink">
    <w:name w:val="Hyperlink"/>
    <w:rsid w:val="00B33585"/>
    <w:rPr>
      <w:color w:val="0000FF"/>
      <w:u w:val="single"/>
    </w:rPr>
  </w:style>
  <w:style w:type="character" w:customStyle="1" w:styleId="course-name1">
    <w:name w:val="course-name1"/>
    <w:rsid w:val="00B33585"/>
    <w:rPr>
      <w:rFonts w:ascii="Arial" w:hAnsi="Arial" w:cs="Arial" w:hint="default"/>
      <w:i w:val="0"/>
      <w:iCs w:val="0"/>
      <w:sz w:val="18"/>
      <w:szCs w:val="18"/>
    </w:rPr>
  </w:style>
  <w:style w:type="paragraph" w:customStyle="1" w:styleId="Default">
    <w:name w:val="Default"/>
    <w:rsid w:val="00B33585"/>
    <w:pPr>
      <w:autoSpaceDE w:val="0"/>
      <w:autoSpaceDN w:val="0"/>
      <w:adjustRightInd w:val="0"/>
      <w:spacing w:after="0" w:line="240" w:lineRule="auto"/>
    </w:pPr>
    <w:rPr>
      <w:rFonts w:ascii="Verdana" w:eastAsia="Times New Roman" w:hAnsi="Verdana" w:cs="Verdana"/>
      <w:color w:val="000000"/>
      <w:sz w:val="24"/>
      <w:szCs w:val="24"/>
      <w:lang w:val="en-US"/>
    </w:rPr>
  </w:style>
  <w:style w:type="character" w:customStyle="1" w:styleId="auto-style61">
    <w:name w:val="auto-style61"/>
    <w:rsid w:val="00B33585"/>
    <w:rPr>
      <w:rFonts w:ascii="Verdana" w:hAnsi="Verdana" w:hint="default"/>
      <w:b w:val="0"/>
      <w:bCs w:val="0"/>
      <w:color w:val="FF0000"/>
    </w:rPr>
  </w:style>
  <w:style w:type="paragraph" w:styleId="BalloonText">
    <w:name w:val="Balloon Text"/>
    <w:basedOn w:val="Normal"/>
    <w:link w:val="BalloonTextChar"/>
    <w:uiPriority w:val="99"/>
    <w:semiHidden/>
    <w:unhideWhenUsed/>
    <w:rsid w:val="00435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FC2"/>
    <w:rPr>
      <w:rFonts w:ascii="Segoe UI" w:eastAsia="Times New Roman" w:hAnsi="Segoe UI" w:cs="Segoe UI"/>
      <w:sz w:val="18"/>
      <w:szCs w:val="18"/>
      <w:lang w:val="en-US"/>
    </w:rPr>
  </w:style>
  <w:style w:type="paragraph" w:styleId="ListParagraph">
    <w:name w:val="List Paragraph"/>
    <w:basedOn w:val="Normal"/>
    <w:uiPriority w:val="34"/>
    <w:qFormat/>
    <w:rsid w:val="00495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2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morris2@uw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10864</Characters>
  <Application>Microsoft Office Word</Application>
  <DocSecurity>0</DocSecurity>
  <Lines>194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William Morrison</dc:creator>
  <cp:keywords/>
  <dc:description/>
  <cp:lastModifiedBy>Bruce William Morrison</cp:lastModifiedBy>
  <cp:revision>2</cp:revision>
  <cp:lastPrinted>2020-09-03T23:05:00Z</cp:lastPrinted>
  <dcterms:created xsi:type="dcterms:W3CDTF">2024-01-08T15:44:00Z</dcterms:created>
  <dcterms:modified xsi:type="dcterms:W3CDTF">2024-01-08T15:44:00Z</dcterms:modified>
</cp:coreProperties>
</file>