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7CA" w:rsidRDefault="003D67CA" w:rsidP="003D67CA">
      <w:pPr>
        <w:pStyle w:val="Title"/>
        <w:rPr>
          <w:b/>
          <w:color w:val="000000"/>
        </w:rPr>
      </w:pPr>
      <w:bookmarkStart w:id="0" w:name="_GoBack"/>
      <w:bookmarkEnd w:id="0"/>
      <w:r>
        <w:rPr>
          <w:b/>
          <w:color w:val="000000"/>
        </w:rPr>
        <w:t>Transitional Justice 9501B</w:t>
      </w:r>
    </w:p>
    <w:p w:rsidR="003D67CA" w:rsidRPr="005E0B03" w:rsidRDefault="003D67CA" w:rsidP="003D67CA">
      <w:pPr>
        <w:pStyle w:val="Title"/>
        <w:rPr>
          <w:b/>
          <w:color w:val="000000"/>
        </w:rPr>
      </w:pPr>
      <w:r w:rsidRPr="005E0B03">
        <w:rPr>
          <w:b/>
          <w:color w:val="000000"/>
        </w:rPr>
        <w:t xml:space="preserve">Political Science </w:t>
      </w:r>
      <w:r>
        <w:rPr>
          <w:b/>
          <w:color w:val="000000"/>
        </w:rPr>
        <w:t>9751B</w:t>
      </w:r>
    </w:p>
    <w:p w:rsidR="003D67CA" w:rsidRPr="005E0B03" w:rsidRDefault="003D67CA" w:rsidP="003D67CA">
      <w:pPr>
        <w:pStyle w:val="Title"/>
        <w:rPr>
          <w:b/>
          <w:color w:val="000000"/>
        </w:rPr>
      </w:pPr>
      <w:r>
        <w:rPr>
          <w:b/>
          <w:color w:val="000000"/>
        </w:rPr>
        <w:t xml:space="preserve">Foundations in </w:t>
      </w:r>
      <w:r w:rsidRPr="003D67CA">
        <w:rPr>
          <w:b/>
        </w:rPr>
        <w:t>Transitional Justice and Post-Conflict Reconstruction</w:t>
      </w:r>
    </w:p>
    <w:p w:rsidR="003D67CA" w:rsidRPr="005E0B03" w:rsidRDefault="003D67CA" w:rsidP="003D67CA">
      <w:pPr>
        <w:pStyle w:val="Title"/>
        <w:rPr>
          <w:b/>
          <w:color w:val="000000"/>
        </w:rPr>
      </w:pPr>
    </w:p>
    <w:p w:rsidR="003D67CA" w:rsidRPr="005E0B03" w:rsidRDefault="003D67CA" w:rsidP="003D67CA">
      <w:pPr>
        <w:jc w:val="both"/>
        <w:rPr>
          <w:bCs/>
          <w:color w:val="000000"/>
        </w:rPr>
      </w:pPr>
      <w:r w:rsidRPr="005E0B03">
        <w:rPr>
          <w:bCs/>
          <w:color w:val="000000"/>
        </w:rPr>
        <w:t>Winter Term 201</w:t>
      </w:r>
      <w:r>
        <w:rPr>
          <w:bCs/>
          <w:color w:val="000000"/>
        </w:rPr>
        <w:t>7</w:t>
      </w:r>
      <w:r w:rsidRPr="005E0B03">
        <w:rPr>
          <w:bCs/>
          <w:color w:val="000000"/>
        </w:rPr>
        <w:tab/>
      </w:r>
      <w:r w:rsidRPr="005E0B03">
        <w:rPr>
          <w:bCs/>
          <w:color w:val="000000"/>
        </w:rPr>
        <w:tab/>
      </w:r>
      <w:r w:rsidRPr="005E0B03">
        <w:rPr>
          <w:bCs/>
          <w:color w:val="000000"/>
        </w:rPr>
        <w:tab/>
      </w:r>
      <w:r w:rsidRPr="005E0B03">
        <w:rPr>
          <w:bCs/>
          <w:color w:val="000000"/>
        </w:rPr>
        <w:tab/>
        <w:t xml:space="preserve">  </w:t>
      </w:r>
      <w:r w:rsidRPr="005E0B03">
        <w:rPr>
          <w:bCs/>
          <w:color w:val="000000"/>
        </w:rPr>
        <w:tab/>
        <w:t xml:space="preserve">      </w:t>
      </w:r>
      <w:r w:rsidRPr="005E0B03">
        <w:rPr>
          <w:bCs/>
          <w:color w:val="000000"/>
        </w:rPr>
        <w:tab/>
        <w:t xml:space="preserve">        Instructor:  Dr. Joanna R. Quinn</w:t>
      </w:r>
    </w:p>
    <w:p w:rsidR="003D67CA" w:rsidRPr="005E0B03" w:rsidRDefault="003D67CA" w:rsidP="003D67CA">
      <w:pPr>
        <w:jc w:val="both"/>
        <w:rPr>
          <w:bCs/>
          <w:color w:val="000000"/>
        </w:rPr>
      </w:pPr>
      <w:r w:rsidRPr="005E0B03">
        <w:rPr>
          <w:bCs/>
          <w:color w:val="000000"/>
        </w:rPr>
        <w:t>Wednesday 1</w:t>
      </w:r>
      <w:r>
        <w:rPr>
          <w:bCs/>
          <w:color w:val="000000"/>
        </w:rPr>
        <w:t>2</w:t>
      </w:r>
      <w:r w:rsidRPr="005E0B03">
        <w:rPr>
          <w:bCs/>
          <w:color w:val="000000"/>
        </w:rPr>
        <w:t>:30-3:30</w:t>
      </w:r>
      <w:r w:rsidRPr="005E0B03">
        <w:rPr>
          <w:bCs/>
          <w:color w:val="000000"/>
        </w:rPr>
        <w:tab/>
        <w:t xml:space="preserve"> </w:t>
      </w:r>
      <w:r w:rsidRPr="005E0B03">
        <w:rPr>
          <w:bCs/>
          <w:color w:val="000000"/>
        </w:rPr>
        <w:tab/>
      </w:r>
      <w:r w:rsidRPr="005E0B03">
        <w:rPr>
          <w:bCs/>
          <w:color w:val="000000"/>
        </w:rPr>
        <w:tab/>
      </w:r>
      <w:r w:rsidRPr="005E0B03">
        <w:rPr>
          <w:bCs/>
          <w:color w:val="000000"/>
        </w:rPr>
        <w:tab/>
      </w:r>
      <w:r w:rsidRPr="005E0B03">
        <w:rPr>
          <w:bCs/>
          <w:color w:val="000000"/>
        </w:rPr>
        <w:tab/>
        <w:t xml:space="preserve">           </w:t>
      </w:r>
      <w:r w:rsidRPr="005E0B03">
        <w:rPr>
          <w:bCs/>
          <w:color w:val="000000"/>
        </w:rPr>
        <w:tab/>
        <w:t xml:space="preserve">    Office Location: SSC 4158</w:t>
      </w:r>
    </w:p>
    <w:p w:rsidR="003D67CA" w:rsidRPr="005E0B03" w:rsidRDefault="003D67CA" w:rsidP="003D67CA">
      <w:pPr>
        <w:jc w:val="both"/>
        <w:rPr>
          <w:bCs/>
          <w:color w:val="000000"/>
        </w:rPr>
      </w:pPr>
      <w:r w:rsidRPr="005E0B03">
        <w:rPr>
          <w:bCs/>
          <w:color w:val="000000"/>
        </w:rPr>
        <w:t xml:space="preserve">Location:  </w:t>
      </w:r>
      <w:r>
        <w:rPr>
          <w:bCs/>
          <w:color w:val="000000"/>
        </w:rPr>
        <w:t>LwH 1218</w:t>
      </w:r>
      <w:r w:rsidRPr="005E0B03">
        <w:rPr>
          <w:bCs/>
          <w:color w:val="000000"/>
        </w:rPr>
        <w:tab/>
      </w:r>
      <w:r w:rsidRPr="005E0B03">
        <w:rPr>
          <w:bCs/>
          <w:color w:val="000000"/>
        </w:rPr>
        <w:tab/>
      </w:r>
      <w:r w:rsidRPr="005E0B03">
        <w:rPr>
          <w:bCs/>
          <w:color w:val="000000"/>
        </w:rPr>
        <w:tab/>
        <w:t xml:space="preserve">           </w:t>
      </w:r>
      <w:r w:rsidRPr="005E0B03">
        <w:rPr>
          <w:bCs/>
          <w:color w:val="000000"/>
        </w:rPr>
        <w:tab/>
      </w:r>
      <w:r w:rsidRPr="005E0B03">
        <w:rPr>
          <w:bCs/>
          <w:color w:val="000000"/>
        </w:rPr>
        <w:tab/>
        <w:t xml:space="preserve"> </w:t>
      </w:r>
      <w:r w:rsidR="00C5309A">
        <w:rPr>
          <w:bCs/>
          <w:color w:val="000000"/>
        </w:rPr>
        <w:t xml:space="preserve">       </w:t>
      </w:r>
      <w:r w:rsidRPr="005E0B03">
        <w:rPr>
          <w:bCs/>
          <w:color w:val="000000"/>
        </w:rPr>
        <w:t>Office Hours:  Wed</w:t>
      </w:r>
      <w:r w:rsidR="00C5309A">
        <w:rPr>
          <w:bCs/>
          <w:color w:val="000000"/>
        </w:rPr>
        <w:t>nesday</w:t>
      </w:r>
      <w:r w:rsidRPr="005E0B03">
        <w:rPr>
          <w:bCs/>
          <w:color w:val="000000"/>
        </w:rPr>
        <w:t xml:space="preserve"> 10:30-12:00</w:t>
      </w:r>
    </w:p>
    <w:p w:rsidR="003D67CA" w:rsidRDefault="003D67CA" w:rsidP="003D67CA">
      <w:pPr>
        <w:jc w:val="both"/>
        <w:rPr>
          <w:bCs/>
          <w:color w:val="000000"/>
        </w:rPr>
      </w:pPr>
      <w:r w:rsidRPr="005E0B03">
        <w:rPr>
          <w:bCs/>
          <w:color w:val="000000"/>
        </w:rPr>
        <w:t xml:space="preserve">        </w:t>
      </w:r>
      <w:r w:rsidRPr="005E0B03">
        <w:rPr>
          <w:bCs/>
          <w:color w:val="000000"/>
        </w:rPr>
        <w:tab/>
      </w:r>
      <w:r w:rsidRPr="005E0B03">
        <w:rPr>
          <w:bCs/>
          <w:color w:val="000000"/>
        </w:rPr>
        <w:tab/>
      </w:r>
      <w:r w:rsidRPr="005E0B03">
        <w:rPr>
          <w:bCs/>
          <w:color w:val="000000"/>
        </w:rPr>
        <w:tab/>
      </w:r>
      <w:r w:rsidRPr="005E0B03">
        <w:rPr>
          <w:bCs/>
          <w:color w:val="000000"/>
        </w:rPr>
        <w:tab/>
      </w:r>
      <w:r w:rsidRPr="005E0B03">
        <w:rPr>
          <w:bCs/>
          <w:color w:val="000000"/>
        </w:rPr>
        <w:tab/>
      </w:r>
      <w:r w:rsidRPr="005E0B03">
        <w:rPr>
          <w:bCs/>
          <w:color w:val="000000"/>
        </w:rPr>
        <w:tab/>
      </w:r>
      <w:r w:rsidRPr="005E0B03">
        <w:rPr>
          <w:bCs/>
          <w:color w:val="000000"/>
        </w:rPr>
        <w:tab/>
      </w:r>
      <w:r w:rsidRPr="005E0B03">
        <w:rPr>
          <w:bCs/>
          <w:color w:val="000000"/>
        </w:rPr>
        <w:tab/>
      </w:r>
      <w:r w:rsidRPr="005E0B03">
        <w:rPr>
          <w:bCs/>
          <w:color w:val="000000"/>
        </w:rPr>
        <w:tab/>
        <w:t xml:space="preserve">        Email: jquinn2@uwo.ca</w:t>
      </w:r>
      <w:r w:rsidRPr="005E0B03">
        <w:rPr>
          <w:bCs/>
          <w:color w:val="000000"/>
        </w:rPr>
        <w:tab/>
      </w:r>
    </w:p>
    <w:p w:rsidR="003D67CA" w:rsidRDefault="003D67CA" w:rsidP="003D67CA">
      <w:pPr>
        <w:jc w:val="both"/>
        <w:rPr>
          <w:bCs/>
          <w:color w:val="000000"/>
        </w:rPr>
      </w:pPr>
    </w:p>
    <w:p w:rsidR="003D67CA" w:rsidRDefault="00C5309A" w:rsidP="003D67CA">
      <w:pPr>
        <w:jc w:val="both"/>
        <w:rPr>
          <w:b/>
          <w:bCs/>
          <w:color w:val="000000"/>
        </w:rPr>
      </w:pPr>
      <w:r>
        <w:rPr>
          <w:b/>
          <w:bCs/>
          <w:color w:val="000000"/>
        </w:rPr>
        <w:t>Description</w:t>
      </w:r>
    </w:p>
    <w:p w:rsidR="00C5309A" w:rsidRPr="00C5309A" w:rsidRDefault="00C5309A" w:rsidP="003D67CA">
      <w:pPr>
        <w:jc w:val="both"/>
        <w:rPr>
          <w:b/>
          <w:bCs/>
          <w:color w:val="000000"/>
        </w:rPr>
      </w:pPr>
    </w:p>
    <w:p w:rsidR="003D67CA" w:rsidRDefault="003D67CA" w:rsidP="003D67CA">
      <w:pPr>
        <w:jc w:val="both"/>
      </w:pPr>
      <w:r>
        <w:t xml:space="preserve">The course will </w:t>
      </w:r>
      <w:r w:rsidRPr="00BB1061">
        <w:t xml:space="preserve">provide students with inter-disciplinary instruction in Transitional Justice and Post-Conflict Reconstruction.  Students will explore aspects of societal and state transition relating to development, democracy, the environment, the economy, human rights, politics, peace agreements and justice before, at the time of, and post-transition.  The </w:t>
      </w:r>
      <w:r>
        <w:t>course</w:t>
      </w:r>
      <w:r w:rsidRPr="00BB1061">
        <w:t xml:space="preserve"> will familiarize students with the </w:t>
      </w:r>
      <w:r>
        <w:t xml:space="preserve">foundations of </w:t>
      </w:r>
      <w:r w:rsidRPr="00BB1061">
        <w:t xml:space="preserve">emerging debates surrounding transitional justice and post-conflict reconstruction, and to allow for real-world application of theoretical constructs and explanations.  </w:t>
      </w:r>
    </w:p>
    <w:p w:rsidR="003D67CA" w:rsidRDefault="003D67CA" w:rsidP="003D67CA">
      <w:pPr>
        <w:jc w:val="both"/>
      </w:pPr>
    </w:p>
    <w:p w:rsidR="003D67CA" w:rsidRDefault="003D67CA" w:rsidP="003D67CA">
      <w:pPr>
        <w:jc w:val="both"/>
      </w:pPr>
    </w:p>
    <w:p w:rsidR="00916E95" w:rsidRPr="00337C43" w:rsidRDefault="00916E95" w:rsidP="00916E95">
      <w:pPr>
        <w:pStyle w:val="Title"/>
        <w:ind w:left="720" w:hanging="720"/>
        <w:jc w:val="left"/>
        <w:rPr>
          <w:bCs/>
        </w:rPr>
      </w:pPr>
      <w:r w:rsidRPr="00337C43">
        <w:rPr>
          <w:b/>
          <w:bCs/>
        </w:rPr>
        <w:t>Required Texts</w:t>
      </w:r>
    </w:p>
    <w:p w:rsidR="00916E95" w:rsidRPr="00337C43" w:rsidRDefault="00916E95" w:rsidP="00916E95">
      <w:pPr>
        <w:pStyle w:val="Title"/>
        <w:ind w:left="720" w:hanging="720"/>
        <w:jc w:val="left"/>
        <w:rPr>
          <w:bCs/>
        </w:rPr>
      </w:pPr>
    </w:p>
    <w:p w:rsidR="00916E95" w:rsidRPr="00337C43" w:rsidRDefault="00337C43" w:rsidP="00916E95">
      <w:pPr>
        <w:rPr>
          <w:bCs/>
        </w:rPr>
      </w:pPr>
      <w:r w:rsidRPr="00337C43">
        <w:rPr>
          <w:bCs/>
        </w:rPr>
        <w:t xml:space="preserve">There is no required textbook, </w:t>
      </w:r>
      <w:r w:rsidRPr="00337C43">
        <w:rPr>
          <w:bCs/>
          <w:i/>
        </w:rPr>
        <w:t>per se</w:t>
      </w:r>
      <w:r w:rsidRPr="00337C43">
        <w:rPr>
          <w:bCs/>
        </w:rPr>
        <w:t>.  Instead, a series of journal articles and book chapters has been assigned.  Many of these are available from the library in the Centre for Transitional Justice and Post-Conflict Reconstruction, and others are available in Weldon Library.  Still others are available online.</w:t>
      </w:r>
    </w:p>
    <w:p w:rsidR="00916E95" w:rsidRPr="00337C43" w:rsidRDefault="00916E95" w:rsidP="00916E95">
      <w:pPr>
        <w:rPr>
          <w:bCs/>
        </w:rPr>
      </w:pPr>
    </w:p>
    <w:p w:rsidR="00916E95" w:rsidRPr="00337C43" w:rsidRDefault="00916E95" w:rsidP="003D67CA">
      <w:pPr>
        <w:jc w:val="both"/>
      </w:pPr>
    </w:p>
    <w:p w:rsidR="00337C43" w:rsidRPr="00337C43" w:rsidRDefault="00337C43" w:rsidP="00337C43">
      <w:pPr>
        <w:rPr>
          <w:b/>
          <w:bCs/>
        </w:rPr>
      </w:pPr>
      <w:r w:rsidRPr="00337C43">
        <w:rPr>
          <w:b/>
          <w:bCs/>
        </w:rPr>
        <w:t>How to think about this course</w:t>
      </w:r>
    </w:p>
    <w:p w:rsidR="00337C43" w:rsidRPr="00337C43" w:rsidRDefault="00337C43" w:rsidP="00337C43">
      <w:pPr>
        <w:pStyle w:val="Default"/>
        <w:rPr>
          <w:rFonts w:ascii="Times New Roman" w:hAnsi="Times New Roman" w:cs="Times New Roman"/>
          <w:color w:val="auto"/>
        </w:rPr>
      </w:pPr>
      <w:r w:rsidRPr="00337C43">
        <w:rPr>
          <w:rFonts w:ascii="Times New Roman" w:hAnsi="Times New Roman" w:cs="Times New Roman"/>
          <w:b/>
          <w:bCs/>
          <w:color w:val="auto"/>
        </w:rPr>
        <w:t xml:space="preserve"> </w:t>
      </w:r>
    </w:p>
    <w:p w:rsidR="00337C43" w:rsidRPr="00337C43" w:rsidRDefault="00337C43" w:rsidP="00337C43">
      <w:pPr>
        <w:pStyle w:val="Default"/>
        <w:jc w:val="both"/>
        <w:rPr>
          <w:rFonts w:ascii="Times New Roman" w:eastAsiaTheme="minorHAnsi" w:hAnsi="Times New Roman" w:cs="Times New Roman"/>
          <w:color w:val="auto"/>
        </w:rPr>
      </w:pPr>
      <w:r w:rsidRPr="00337C43">
        <w:rPr>
          <w:rFonts w:ascii="Times New Roman" w:eastAsiaTheme="minorHAnsi" w:hAnsi="Times New Roman" w:cs="Times New Roman"/>
          <w:color w:val="auto"/>
        </w:rPr>
        <w:t xml:space="preserve">This course is designed to </w:t>
      </w:r>
      <w:r w:rsidRPr="00337C43">
        <w:rPr>
          <w:rFonts w:ascii="Times New Roman" w:hAnsi="Times New Roman" w:cs="Times New Roman"/>
          <w:color w:val="auto"/>
        </w:rPr>
        <w:t xml:space="preserve">introduce students to the field of </w:t>
      </w:r>
      <w:r w:rsidRPr="00337C43">
        <w:rPr>
          <w:rFonts w:ascii="Times New Roman" w:eastAsiaTheme="minorHAnsi" w:hAnsi="Times New Roman" w:cs="Times New Roman"/>
          <w:color w:val="auto"/>
        </w:rPr>
        <w:t xml:space="preserve">transitional justice </w:t>
      </w:r>
      <w:r w:rsidRPr="00337C43">
        <w:rPr>
          <w:rFonts w:ascii="Times New Roman" w:hAnsi="Times New Roman" w:cs="Times New Roman"/>
          <w:color w:val="auto"/>
        </w:rPr>
        <w:t xml:space="preserve">and post-conflict reconstruction, by tracing the contours of what scholars are thinking about, by outlining </w:t>
      </w:r>
      <w:r w:rsidRPr="00337C43">
        <w:rPr>
          <w:rFonts w:ascii="Times New Roman" w:eastAsiaTheme="minorHAnsi" w:hAnsi="Times New Roman" w:cs="Times New Roman"/>
          <w:color w:val="auto"/>
        </w:rPr>
        <w:t xml:space="preserve">the major debates and issues currently underway, and by </w:t>
      </w:r>
      <w:r w:rsidRPr="00337C43">
        <w:rPr>
          <w:rFonts w:ascii="Times New Roman" w:hAnsi="Times New Roman" w:cs="Times New Roman"/>
        </w:rPr>
        <w:t xml:space="preserve">setting out the major themes and approaches of the field.  </w:t>
      </w:r>
      <w:r w:rsidRPr="00337C43">
        <w:rPr>
          <w:rFonts w:ascii="Times New Roman" w:eastAsiaTheme="minorHAnsi" w:hAnsi="Times New Roman" w:cs="Times New Roman"/>
          <w:color w:val="auto"/>
        </w:rPr>
        <w:t xml:space="preserve">What </w:t>
      </w:r>
      <w:r w:rsidR="00D724B0">
        <w:rPr>
          <w:rFonts w:ascii="Times New Roman" w:eastAsiaTheme="minorHAnsi" w:hAnsi="Times New Roman" w:cs="Times New Roman"/>
          <w:color w:val="auto"/>
        </w:rPr>
        <w:t>students</w:t>
      </w:r>
      <w:r w:rsidRPr="00337C43">
        <w:rPr>
          <w:rFonts w:ascii="Times New Roman" w:eastAsiaTheme="minorHAnsi" w:hAnsi="Times New Roman" w:cs="Times New Roman"/>
          <w:color w:val="auto"/>
        </w:rPr>
        <w:t xml:space="preserve"> learn in this course will provide a framework for </w:t>
      </w:r>
      <w:r w:rsidR="00D724B0">
        <w:rPr>
          <w:rFonts w:ascii="Times New Roman" w:eastAsiaTheme="minorHAnsi" w:hAnsi="Times New Roman" w:cs="Times New Roman"/>
          <w:color w:val="auto"/>
        </w:rPr>
        <w:t>their</w:t>
      </w:r>
      <w:r w:rsidRPr="00337C43">
        <w:rPr>
          <w:rFonts w:ascii="Times New Roman" w:eastAsiaTheme="minorHAnsi" w:hAnsi="Times New Roman" w:cs="Times New Roman"/>
          <w:color w:val="auto"/>
        </w:rPr>
        <w:t xml:space="preserve"> future studies </w:t>
      </w:r>
      <w:r w:rsidRPr="00337C43">
        <w:rPr>
          <w:rFonts w:ascii="Times New Roman" w:hAnsi="Times New Roman" w:cs="Times New Roman"/>
          <w:color w:val="auto"/>
        </w:rPr>
        <w:t xml:space="preserve">in </w:t>
      </w:r>
      <w:r w:rsidRPr="00337C43">
        <w:rPr>
          <w:rFonts w:ascii="Times New Roman" w:eastAsiaTheme="minorHAnsi" w:hAnsi="Times New Roman" w:cs="Times New Roman"/>
          <w:color w:val="auto"/>
        </w:rPr>
        <w:t xml:space="preserve">transitional justice </w:t>
      </w:r>
      <w:r w:rsidRPr="00337C43">
        <w:rPr>
          <w:rFonts w:ascii="Times New Roman" w:hAnsi="Times New Roman" w:cs="Times New Roman"/>
          <w:color w:val="auto"/>
        </w:rPr>
        <w:t>and post-conflict reconstruction</w:t>
      </w:r>
      <w:r w:rsidRPr="00337C43">
        <w:rPr>
          <w:rFonts w:ascii="Times New Roman" w:eastAsiaTheme="minorHAnsi" w:hAnsi="Times New Roman" w:cs="Times New Roman"/>
          <w:color w:val="auto"/>
        </w:rPr>
        <w:t xml:space="preserve">. </w:t>
      </w:r>
    </w:p>
    <w:p w:rsidR="00337C43" w:rsidRPr="00337C43" w:rsidRDefault="00337C43" w:rsidP="00337C43">
      <w:pPr>
        <w:pStyle w:val="Default"/>
        <w:jc w:val="both"/>
        <w:rPr>
          <w:rFonts w:ascii="Times New Roman" w:eastAsiaTheme="minorHAnsi" w:hAnsi="Times New Roman" w:cs="Times New Roman"/>
          <w:color w:val="auto"/>
        </w:rPr>
      </w:pPr>
    </w:p>
    <w:p w:rsidR="00337C43" w:rsidRPr="00337C43" w:rsidRDefault="00337C43" w:rsidP="00337C43">
      <w:pPr>
        <w:pStyle w:val="Default"/>
        <w:jc w:val="both"/>
        <w:rPr>
          <w:rFonts w:ascii="Times New Roman" w:eastAsiaTheme="minorHAnsi" w:hAnsi="Times New Roman" w:cs="Times New Roman"/>
          <w:color w:val="auto"/>
        </w:rPr>
      </w:pPr>
      <w:r w:rsidRPr="00337C43">
        <w:rPr>
          <w:rFonts w:ascii="Times New Roman" w:eastAsiaTheme="minorHAnsi" w:hAnsi="Times New Roman" w:cs="Times New Roman"/>
          <w:color w:val="auto"/>
        </w:rPr>
        <w:t xml:space="preserve">The assignments and </w:t>
      </w:r>
      <w:r w:rsidR="00D724B0">
        <w:rPr>
          <w:rFonts w:ascii="Times New Roman" w:eastAsiaTheme="minorHAnsi" w:hAnsi="Times New Roman" w:cs="Times New Roman"/>
          <w:color w:val="auto"/>
        </w:rPr>
        <w:t>their</w:t>
      </w:r>
      <w:r w:rsidRPr="00337C43">
        <w:rPr>
          <w:rFonts w:ascii="Times New Roman" w:eastAsiaTheme="minorHAnsi" w:hAnsi="Times New Roman" w:cs="Times New Roman"/>
          <w:color w:val="auto"/>
        </w:rPr>
        <w:t xml:space="preserve"> evaluation in this course are designed to help </w:t>
      </w:r>
      <w:r w:rsidR="00D724B0">
        <w:rPr>
          <w:rFonts w:ascii="Times New Roman" w:eastAsiaTheme="minorHAnsi" w:hAnsi="Times New Roman" w:cs="Times New Roman"/>
          <w:color w:val="auto"/>
        </w:rPr>
        <w:t>students</w:t>
      </w:r>
      <w:r w:rsidRPr="00337C43">
        <w:rPr>
          <w:rFonts w:ascii="Times New Roman" w:eastAsiaTheme="minorHAnsi" w:hAnsi="Times New Roman" w:cs="Times New Roman"/>
          <w:color w:val="auto"/>
        </w:rPr>
        <w:t xml:space="preserve"> develop </w:t>
      </w:r>
      <w:r w:rsidR="00D724B0">
        <w:rPr>
          <w:rFonts w:ascii="Times New Roman" w:eastAsiaTheme="minorHAnsi" w:hAnsi="Times New Roman" w:cs="Times New Roman"/>
          <w:color w:val="auto"/>
        </w:rPr>
        <w:t>their</w:t>
      </w:r>
      <w:r w:rsidRPr="00337C43">
        <w:rPr>
          <w:rFonts w:ascii="Times New Roman" w:eastAsiaTheme="minorHAnsi" w:hAnsi="Times New Roman" w:cs="Times New Roman"/>
          <w:color w:val="auto"/>
        </w:rPr>
        <w:t xml:space="preserve"> critical thinking skills in ways that relate to </w:t>
      </w:r>
      <w:r w:rsidR="00D724B0">
        <w:rPr>
          <w:rFonts w:ascii="Times New Roman" w:eastAsiaTheme="minorHAnsi" w:hAnsi="Times New Roman" w:cs="Times New Roman"/>
          <w:color w:val="auto"/>
        </w:rPr>
        <w:t>their</w:t>
      </w:r>
      <w:r w:rsidRPr="00337C43">
        <w:rPr>
          <w:rFonts w:ascii="Times New Roman" w:eastAsiaTheme="minorHAnsi" w:hAnsi="Times New Roman" w:cs="Times New Roman"/>
          <w:color w:val="auto"/>
        </w:rPr>
        <w:t xml:space="preserve"> interests in specific areas or theories in the field of transitional justice </w:t>
      </w:r>
      <w:r w:rsidRPr="00337C43">
        <w:rPr>
          <w:rFonts w:ascii="Times New Roman" w:hAnsi="Times New Roman" w:cs="Times New Roman"/>
          <w:color w:val="auto"/>
        </w:rPr>
        <w:t>and post-conflict reconstruction</w:t>
      </w:r>
      <w:r w:rsidRPr="00337C43">
        <w:rPr>
          <w:rFonts w:ascii="Times New Roman" w:eastAsiaTheme="minorHAnsi" w:hAnsi="Times New Roman" w:cs="Times New Roman"/>
          <w:color w:val="auto"/>
        </w:rPr>
        <w:t xml:space="preserve">. We will cover a range of debates and issues, and while </w:t>
      </w:r>
      <w:r w:rsidR="00D724B0">
        <w:rPr>
          <w:rFonts w:ascii="Times New Roman" w:eastAsiaTheme="minorHAnsi" w:hAnsi="Times New Roman" w:cs="Times New Roman"/>
          <w:color w:val="auto"/>
        </w:rPr>
        <w:t>students</w:t>
      </w:r>
      <w:r w:rsidRPr="00337C43">
        <w:rPr>
          <w:rFonts w:ascii="Times New Roman" w:eastAsiaTheme="minorHAnsi" w:hAnsi="Times New Roman" w:cs="Times New Roman"/>
          <w:color w:val="auto"/>
        </w:rPr>
        <w:t xml:space="preserve"> may not agree with all of them, </w:t>
      </w:r>
      <w:r w:rsidR="00D724B0">
        <w:rPr>
          <w:rFonts w:ascii="Times New Roman" w:eastAsiaTheme="minorHAnsi" w:hAnsi="Times New Roman" w:cs="Times New Roman"/>
          <w:color w:val="auto"/>
        </w:rPr>
        <w:t>students</w:t>
      </w:r>
      <w:r w:rsidRPr="00337C43">
        <w:rPr>
          <w:rFonts w:ascii="Times New Roman" w:eastAsiaTheme="minorHAnsi" w:hAnsi="Times New Roman" w:cs="Times New Roman"/>
          <w:color w:val="auto"/>
        </w:rPr>
        <w:t xml:space="preserve"> should be able to discuss all of them intelligently. </w:t>
      </w:r>
      <w:r w:rsidR="00D724B0">
        <w:rPr>
          <w:rFonts w:ascii="Times New Roman" w:eastAsiaTheme="minorHAnsi" w:hAnsi="Times New Roman" w:cs="Times New Roman"/>
          <w:color w:val="auto"/>
        </w:rPr>
        <w:t>Their</w:t>
      </w:r>
      <w:r w:rsidRPr="00337C43">
        <w:rPr>
          <w:rFonts w:ascii="Times New Roman" w:eastAsiaTheme="minorHAnsi" w:hAnsi="Times New Roman" w:cs="Times New Roman"/>
          <w:color w:val="auto"/>
        </w:rPr>
        <w:t xml:space="preserve"> ability to accomplish these objectives will be assessed using the assignments and work outlined below.</w:t>
      </w:r>
    </w:p>
    <w:p w:rsidR="00337C43" w:rsidRPr="00337C43" w:rsidRDefault="00337C43" w:rsidP="00337C43">
      <w:pPr>
        <w:pStyle w:val="Default"/>
        <w:jc w:val="both"/>
        <w:rPr>
          <w:rFonts w:ascii="Times New Roman" w:eastAsiaTheme="minorHAnsi" w:hAnsi="Times New Roman" w:cs="Times New Roman"/>
          <w:color w:val="auto"/>
        </w:rPr>
      </w:pPr>
    </w:p>
    <w:p w:rsidR="00337C43" w:rsidRPr="00337C43" w:rsidRDefault="00337C43" w:rsidP="00337C43">
      <w:pPr>
        <w:pStyle w:val="Default"/>
        <w:jc w:val="both"/>
        <w:rPr>
          <w:rFonts w:ascii="Times New Roman" w:hAnsi="Times New Roman" w:cs="Times New Roman"/>
          <w:color w:val="auto"/>
        </w:rPr>
      </w:pPr>
      <w:r w:rsidRPr="00337C43">
        <w:rPr>
          <w:rFonts w:ascii="Times New Roman" w:eastAsiaTheme="minorHAnsi" w:hAnsi="Times New Roman" w:cs="Times New Roman"/>
          <w:color w:val="auto"/>
        </w:rPr>
        <w:t xml:space="preserve">It is also important to note that the field of transitional justice </w:t>
      </w:r>
      <w:r w:rsidRPr="00337C43">
        <w:rPr>
          <w:rFonts w:ascii="Times New Roman" w:hAnsi="Times New Roman" w:cs="Times New Roman"/>
          <w:color w:val="auto"/>
        </w:rPr>
        <w:t xml:space="preserve">and post-conflict reconstruction is inter-disciplinary, by its very nature.  </w:t>
      </w:r>
      <w:r w:rsidR="00D724B0">
        <w:rPr>
          <w:rFonts w:ascii="Times New Roman" w:hAnsi="Times New Roman" w:cs="Times New Roman"/>
          <w:color w:val="auto"/>
        </w:rPr>
        <w:t>Their</w:t>
      </w:r>
      <w:r w:rsidRPr="00337C43">
        <w:rPr>
          <w:rFonts w:ascii="Times New Roman" w:hAnsi="Times New Roman" w:cs="Times New Roman"/>
          <w:color w:val="auto"/>
        </w:rPr>
        <w:t xml:space="preserve"> colleagues in this class come from different scholarly traditions and disciplines.  This presents us with an exciting opportunity to look at different issues </w:t>
      </w:r>
      <w:r w:rsidRPr="00337C43">
        <w:rPr>
          <w:rFonts w:ascii="Times New Roman" w:hAnsi="Times New Roman" w:cs="Times New Roman"/>
          <w:color w:val="auto"/>
        </w:rPr>
        <w:lastRenderedPageBreak/>
        <w:t xml:space="preserve">and events through the eyes of all of those traditions and disciplines.  Sometimes this might mean that </w:t>
      </w:r>
      <w:r w:rsidR="00D724B0">
        <w:rPr>
          <w:rFonts w:ascii="Times New Roman" w:hAnsi="Times New Roman" w:cs="Times New Roman"/>
          <w:color w:val="auto"/>
        </w:rPr>
        <w:t>their</w:t>
      </w:r>
      <w:r w:rsidRPr="00337C43">
        <w:rPr>
          <w:rFonts w:ascii="Times New Roman" w:hAnsi="Times New Roman" w:cs="Times New Roman"/>
          <w:color w:val="auto"/>
        </w:rPr>
        <w:t xml:space="preserve"> colleagues seem to be speaking a foreign language!  But if we take the time to listen, we can learn a lot from those other perspectives.</w:t>
      </w:r>
    </w:p>
    <w:p w:rsidR="00337C43" w:rsidRDefault="00337C43" w:rsidP="00337C43">
      <w:pPr>
        <w:pStyle w:val="Default"/>
        <w:jc w:val="both"/>
        <w:rPr>
          <w:rFonts w:asciiTheme="minorHAnsi" w:hAnsiTheme="minorHAnsi" w:cs="Times New Roman"/>
          <w:color w:val="auto"/>
          <w:sz w:val="22"/>
          <w:szCs w:val="22"/>
        </w:rPr>
      </w:pPr>
    </w:p>
    <w:p w:rsidR="00337C43" w:rsidRPr="008F5BF2" w:rsidRDefault="00337C43" w:rsidP="00337C43">
      <w:pPr>
        <w:pStyle w:val="Default"/>
        <w:jc w:val="both"/>
        <w:rPr>
          <w:rFonts w:asciiTheme="minorHAnsi" w:hAnsiTheme="minorHAnsi" w:cs="Times New Roman"/>
          <w:color w:val="auto"/>
          <w:sz w:val="22"/>
          <w:szCs w:val="22"/>
        </w:rPr>
      </w:pPr>
    </w:p>
    <w:p w:rsidR="00916E95" w:rsidRPr="00337C43" w:rsidRDefault="00916E95" w:rsidP="00916E95">
      <w:pPr>
        <w:pStyle w:val="BodyText"/>
        <w:ind w:left="360" w:hanging="360"/>
        <w:jc w:val="both"/>
        <w:rPr>
          <w:rFonts w:ascii="Times New Roman" w:hAnsi="Times New Roman"/>
          <w:b/>
          <w:sz w:val="24"/>
          <w:szCs w:val="24"/>
        </w:rPr>
      </w:pPr>
      <w:r w:rsidRPr="00337C43">
        <w:rPr>
          <w:rFonts w:ascii="Times New Roman" w:hAnsi="Times New Roman"/>
          <w:b/>
          <w:sz w:val="24"/>
          <w:szCs w:val="24"/>
        </w:rPr>
        <w:t>Learning objectives</w:t>
      </w:r>
    </w:p>
    <w:p w:rsidR="00916E95" w:rsidRPr="00337C43" w:rsidRDefault="00916E95" w:rsidP="00916E95">
      <w:pPr>
        <w:pStyle w:val="BodyText"/>
        <w:numPr>
          <w:ilvl w:val="0"/>
          <w:numId w:val="1"/>
        </w:numPr>
        <w:spacing w:after="0"/>
        <w:ind w:left="360" w:hanging="360"/>
        <w:jc w:val="both"/>
        <w:rPr>
          <w:rFonts w:ascii="Times New Roman" w:hAnsi="Times New Roman"/>
          <w:sz w:val="24"/>
          <w:szCs w:val="24"/>
          <w:lang w:val="en"/>
        </w:rPr>
      </w:pPr>
      <w:r w:rsidRPr="00337C43">
        <w:rPr>
          <w:rFonts w:ascii="Times New Roman" w:hAnsi="Times New Roman"/>
          <w:sz w:val="24"/>
          <w:szCs w:val="24"/>
          <w:u w:val="single"/>
        </w:rPr>
        <w:t>Depth and Breadth of Knowledge</w:t>
      </w:r>
      <w:r w:rsidRPr="00337C43">
        <w:rPr>
          <w:rFonts w:ascii="Times New Roman" w:hAnsi="Times New Roman"/>
          <w:sz w:val="24"/>
          <w:szCs w:val="24"/>
        </w:rPr>
        <w:t xml:space="preserve">:  Students will become familiar with the “canon” of literature in the growing field of transitional justice and post-conflict reconstruction through an advanced core course, in which they will be guided by expert faculty members who are actively researching and publishing in the field.  The core course will serve to build a </w:t>
      </w:r>
      <w:r w:rsidRPr="00337C43">
        <w:rPr>
          <w:rFonts w:ascii="Times New Roman" w:hAnsi="Times New Roman"/>
          <w:sz w:val="24"/>
          <w:szCs w:val="24"/>
          <w:lang w:val="en"/>
        </w:rPr>
        <w:t xml:space="preserve">community of scholars, facilitating frequent interaction with faculty, and the interchange of ideas with and interaction among peers.  </w:t>
      </w:r>
    </w:p>
    <w:p w:rsidR="00916E95" w:rsidRPr="00337C43" w:rsidRDefault="00916E95" w:rsidP="00916E95">
      <w:pPr>
        <w:pStyle w:val="BodyText"/>
        <w:spacing w:after="0"/>
        <w:ind w:left="360" w:hanging="360"/>
        <w:jc w:val="both"/>
        <w:rPr>
          <w:rFonts w:ascii="Times New Roman" w:hAnsi="Times New Roman"/>
          <w:sz w:val="24"/>
          <w:szCs w:val="24"/>
          <w:lang w:val="en"/>
        </w:rPr>
      </w:pPr>
      <w:r w:rsidRPr="00337C43">
        <w:rPr>
          <w:rFonts w:ascii="Times New Roman" w:hAnsi="Times New Roman"/>
          <w:sz w:val="24"/>
          <w:szCs w:val="24"/>
        </w:rPr>
        <w:tab/>
      </w:r>
      <w:r w:rsidRPr="00337C43">
        <w:rPr>
          <w:rFonts w:ascii="Times New Roman" w:hAnsi="Times New Roman"/>
          <w:i/>
          <w:sz w:val="24"/>
          <w:szCs w:val="24"/>
        </w:rPr>
        <w:t>Intended learning outcome</w:t>
      </w:r>
      <w:r w:rsidRPr="00337C43">
        <w:rPr>
          <w:rFonts w:ascii="Times New Roman" w:hAnsi="Times New Roman"/>
          <w:sz w:val="24"/>
          <w:szCs w:val="24"/>
        </w:rPr>
        <w:t xml:space="preserve">: Students will engage in critical thinking and writing about the core questions that underlie scholarship in the field of transitional justice and post-conflict reconstruction through the preparation of </w:t>
      </w:r>
      <w:r w:rsidRPr="00337C43">
        <w:rPr>
          <w:rFonts w:ascii="Times New Roman" w:hAnsi="Times New Roman"/>
          <w:i/>
          <w:sz w:val="24"/>
          <w:szCs w:val="24"/>
        </w:rPr>
        <w:t>essays</w:t>
      </w:r>
      <w:r w:rsidRPr="00337C43">
        <w:rPr>
          <w:rFonts w:ascii="Times New Roman" w:hAnsi="Times New Roman"/>
          <w:sz w:val="24"/>
          <w:szCs w:val="24"/>
        </w:rPr>
        <w:t xml:space="preserve"> and </w:t>
      </w:r>
      <w:r w:rsidR="00337C43" w:rsidRPr="00337C43">
        <w:rPr>
          <w:rFonts w:ascii="Times New Roman" w:hAnsi="Times New Roman"/>
          <w:i/>
          <w:sz w:val="24"/>
          <w:szCs w:val="24"/>
        </w:rPr>
        <w:t>presentations</w:t>
      </w:r>
      <w:r w:rsidRPr="00337C43">
        <w:rPr>
          <w:rFonts w:ascii="Times New Roman" w:hAnsi="Times New Roman"/>
          <w:sz w:val="24"/>
          <w:szCs w:val="24"/>
        </w:rPr>
        <w:t xml:space="preserve">.  </w:t>
      </w:r>
      <w:r w:rsidRPr="00337C43">
        <w:rPr>
          <w:rFonts w:ascii="Times New Roman" w:hAnsi="Times New Roman"/>
          <w:sz w:val="24"/>
          <w:szCs w:val="24"/>
          <w:lang w:val="en"/>
        </w:rPr>
        <w:t xml:space="preserve">These papers </w:t>
      </w:r>
      <w:r w:rsidR="00337C43" w:rsidRPr="00337C43">
        <w:rPr>
          <w:rFonts w:ascii="Times New Roman" w:hAnsi="Times New Roman"/>
          <w:sz w:val="24"/>
          <w:szCs w:val="24"/>
          <w:lang w:val="en"/>
        </w:rPr>
        <w:t xml:space="preserve">and presentations </w:t>
      </w:r>
      <w:r w:rsidRPr="00337C43">
        <w:rPr>
          <w:rFonts w:ascii="Times New Roman" w:hAnsi="Times New Roman"/>
          <w:sz w:val="24"/>
          <w:szCs w:val="24"/>
          <w:lang w:val="en"/>
        </w:rPr>
        <w:t>will develop the student's analytic and interpretive skills.</w:t>
      </w:r>
    </w:p>
    <w:p w:rsidR="00916E95" w:rsidRPr="00166DD8" w:rsidRDefault="00916E95" w:rsidP="00916E95">
      <w:pPr>
        <w:pStyle w:val="BodyText"/>
        <w:spacing w:after="0"/>
        <w:ind w:left="360" w:hanging="360"/>
        <w:jc w:val="both"/>
        <w:rPr>
          <w:rFonts w:ascii="Times New Roman" w:hAnsi="Times New Roman"/>
          <w:sz w:val="24"/>
          <w:szCs w:val="24"/>
        </w:rPr>
      </w:pPr>
    </w:p>
    <w:p w:rsidR="00916E95" w:rsidRPr="00166DD8" w:rsidRDefault="00916E95" w:rsidP="00916E95">
      <w:pPr>
        <w:pStyle w:val="BodyText"/>
        <w:spacing w:after="0"/>
        <w:ind w:left="360" w:hanging="360"/>
        <w:jc w:val="both"/>
        <w:rPr>
          <w:rFonts w:ascii="Times New Roman" w:hAnsi="Times New Roman"/>
          <w:i/>
          <w:sz w:val="24"/>
          <w:szCs w:val="24"/>
        </w:rPr>
      </w:pPr>
      <w:r w:rsidRPr="00166DD8">
        <w:rPr>
          <w:rFonts w:ascii="Times New Roman" w:hAnsi="Times New Roman"/>
          <w:sz w:val="24"/>
          <w:szCs w:val="24"/>
        </w:rPr>
        <w:t xml:space="preserve">b)  </w:t>
      </w:r>
      <w:r w:rsidRPr="00166DD8">
        <w:rPr>
          <w:rFonts w:ascii="Times New Roman" w:hAnsi="Times New Roman"/>
          <w:sz w:val="24"/>
          <w:szCs w:val="24"/>
          <w:u w:val="single"/>
        </w:rPr>
        <w:t>Research and Scholarship</w:t>
      </w:r>
      <w:r w:rsidRPr="00166DD8">
        <w:rPr>
          <w:rFonts w:ascii="Times New Roman" w:hAnsi="Times New Roman"/>
          <w:sz w:val="24"/>
          <w:szCs w:val="24"/>
        </w:rPr>
        <w:t xml:space="preserve">:  Students will carry out their own independent research projects through the requirements of the program, in the form of essay assignments and dissertations. These assignments will require </w:t>
      </w:r>
      <w:r w:rsidRPr="00166DD8">
        <w:rPr>
          <w:rFonts w:ascii="Times New Roman" w:hAnsi="Times New Roman"/>
          <w:sz w:val="24"/>
          <w:szCs w:val="24"/>
          <w:lang w:val="en"/>
        </w:rPr>
        <w:t xml:space="preserve">the critical analysis of current knowledge and the creation of new knowledge, and advanced students’ work will be presented at conferences and symposia held through the Centre for Transitional Justice, as well as national and international conferences.  </w:t>
      </w:r>
      <w:r w:rsidRPr="00166DD8">
        <w:rPr>
          <w:rFonts w:ascii="Times New Roman" w:hAnsi="Times New Roman"/>
          <w:sz w:val="24"/>
          <w:szCs w:val="24"/>
        </w:rPr>
        <w:t xml:space="preserve">Some students will also be selected as research assistants to assist in the development and conduct of research projects carried out by faculty members affiliated with the Centre. </w:t>
      </w:r>
      <w:r w:rsidRPr="00166DD8">
        <w:rPr>
          <w:rFonts w:ascii="Times New Roman" w:hAnsi="Times New Roman"/>
          <w:i/>
          <w:sz w:val="24"/>
          <w:szCs w:val="24"/>
        </w:rPr>
        <w:t xml:space="preserve"> </w:t>
      </w:r>
    </w:p>
    <w:p w:rsidR="00916E95" w:rsidRPr="00166DD8" w:rsidRDefault="00916E95" w:rsidP="00916E95">
      <w:pPr>
        <w:pStyle w:val="BodyText"/>
        <w:spacing w:after="0"/>
        <w:ind w:left="360" w:hanging="360"/>
        <w:jc w:val="both"/>
        <w:rPr>
          <w:rFonts w:ascii="Times New Roman" w:hAnsi="Times New Roman"/>
          <w:sz w:val="24"/>
          <w:szCs w:val="24"/>
        </w:rPr>
      </w:pPr>
      <w:r w:rsidRPr="00166DD8">
        <w:rPr>
          <w:rFonts w:ascii="Times New Roman" w:hAnsi="Times New Roman"/>
          <w:i/>
          <w:sz w:val="24"/>
          <w:szCs w:val="24"/>
        </w:rPr>
        <w:tab/>
        <w:t>Intended learning outcome</w:t>
      </w:r>
      <w:r w:rsidRPr="00166DD8">
        <w:rPr>
          <w:rFonts w:ascii="Times New Roman" w:hAnsi="Times New Roman"/>
          <w:sz w:val="24"/>
          <w:szCs w:val="24"/>
        </w:rPr>
        <w:t xml:space="preserve">: Students will receive </w:t>
      </w:r>
      <w:r w:rsidRPr="00166DD8">
        <w:rPr>
          <w:rFonts w:ascii="Times New Roman" w:hAnsi="Times New Roman"/>
          <w:i/>
          <w:sz w:val="24"/>
          <w:szCs w:val="24"/>
        </w:rPr>
        <w:t>mentorship and training in research methods</w:t>
      </w:r>
      <w:r w:rsidRPr="00166DD8">
        <w:rPr>
          <w:rFonts w:ascii="Times New Roman" w:hAnsi="Times New Roman"/>
          <w:sz w:val="24"/>
          <w:szCs w:val="24"/>
        </w:rPr>
        <w:t>.</w:t>
      </w:r>
    </w:p>
    <w:p w:rsidR="00916E95" w:rsidRPr="00166DD8" w:rsidRDefault="00916E95" w:rsidP="00916E95">
      <w:pPr>
        <w:pStyle w:val="BodyText"/>
        <w:spacing w:after="0"/>
        <w:ind w:left="360" w:hanging="360"/>
        <w:jc w:val="both"/>
        <w:rPr>
          <w:rFonts w:ascii="Times New Roman" w:hAnsi="Times New Roman"/>
          <w:sz w:val="24"/>
          <w:szCs w:val="24"/>
        </w:rPr>
      </w:pPr>
    </w:p>
    <w:p w:rsidR="00916E95" w:rsidRPr="00166DD8" w:rsidRDefault="00916E95" w:rsidP="00916E95">
      <w:pPr>
        <w:pStyle w:val="BodyText"/>
        <w:spacing w:after="0"/>
        <w:ind w:left="360" w:hanging="360"/>
        <w:jc w:val="both"/>
        <w:rPr>
          <w:rFonts w:ascii="Times New Roman" w:hAnsi="Times New Roman"/>
          <w:sz w:val="24"/>
          <w:szCs w:val="24"/>
        </w:rPr>
      </w:pPr>
      <w:r w:rsidRPr="00166DD8">
        <w:rPr>
          <w:rFonts w:ascii="Times New Roman" w:hAnsi="Times New Roman"/>
          <w:sz w:val="24"/>
          <w:szCs w:val="24"/>
        </w:rPr>
        <w:t xml:space="preserve">c)  </w:t>
      </w:r>
      <w:r w:rsidRPr="00166DD8">
        <w:rPr>
          <w:rFonts w:ascii="Times New Roman" w:hAnsi="Times New Roman"/>
          <w:sz w:val="24"/>
          <w:szCs w:val="24"/>
          <w:u w:val="single"/>
        </w:rPr>
        <w:t>Level of Application of Knowledge</w:t>
      </w:r>
      <w:r w:rsidRPr="00166DD8">
        <w:rPr>
          <w:rFonts w:ascii="Times New Roman" w:hAnsi="Times New Roman"/>
          <w:sz w:val="24"/>
          <w:szCs w:val="24"/>
        </w:rPr>
        <w:t>:  Some students may be selected as teaching assistants for the undergraduate courses to be taught as components of the Minor in Transitional Justice and Post-Conflict Reconstruction.</w:t>
      </w:r>
      <w:r w:rsidRPr="00166DD8">
        <w:rPr>
          <w:rFonts w:ascii="Times New Roman" w:hAnsi="Times New Roman"/>
          <w:i/>
          <w:sz w:val="24"/>
          <w:szCs w:val="24"/>
        </w:rPr>
        <w:t xml:space="preserve"> </w:t>
      </w:r>
      <w:r w:rsidRPr="00166DD8">
        <w:rPr>
          <w:rFonts w:ascii="Times New Roman" w:hAnsi="Times New Roman"/>
          <w:sz w:val="24"/>
          <w:szCs w:val="24"/>
        </w:rPr>
        <w:t>This will be determined by allocations made within the student’s home department or faculty.  Other students will have opportunities to convey their specialized knowledge through presentations to, for example, the TJ Club, and in the research colloquium—all on a voluntary basis.</w:t>
      </w:r>
    </w:p>
    <w:p w:rsidR="00916E95" w:rsidRPr="00166DD8" w:rsidRDefault="00916E95" w:rsidP="00916E95">
      <w:pPr>
        <w:pStyle w:val="BodyText"/>
        <w:spacing w:after="0"/>
        <w:ind w:left="360" w:hanging="360"/>
        <w:jc w:val="both"/>
        <w:rPr>
          <w:rFonts w:ascii="Times New Roman" w:hAnsi="Times New Roman"/>
          <w:sz w:val="24"/>
          <w:szCs w:val="24"/>
        </w:rPr>
      </w:pPr>
      <w:r w:rsidRPr="00166DD8">
        <w:rPr>
          <w:rFonts w:ascii="Times New Roman" w:hAnsi="Times New Roman"/>
          <w:i/>
          <w:sz w:val="24"/>
          <w:szCs w:val="24"/>
        </w:rPr>
        <w:tab/>
        <w:t>Intended learning outcome</w:t>
      </w:r>
      <w:r w:rsidRPr="00166DD8">
        <w:rPr>
          <w:rFonts w:ascii="Times New Roman" w:hAnsi="Times New Roman"/>
          <w:sz w:val="24"/>
          <w:szCs w:val="24"/>
        </w:rPr>
        <w:t xml:space="preserve">: Students will have the opportunity for </w:t>
      </w:r>
      <w:r w:rsidRPr="00166DD8">
        <w:rPr>
          <w:rFonts w:ascii="Times New Roman" w:hAnsi="Times New Roman"/>
          <w:i/>
          <w:sz w:val="24"/>
          <w:szCs w:val="24"/>
        </w:rPr>
        <w:t>knowledge mobilization</w:t>
      </w:r>
      <w:r w:rsidRPr="00166DD8">
        <w:rPr>
          <w:rFonts w:ascii="Times New Roman" w:hAnsi="Times New Roman"/>
          <w:sz w:val="24"/>
          <w:szCs w:val="24"/>
        </w:rPr>
        <w:t xml:space="preserve"> through presentations.</w:t>
      </w:r>
    </w:p>
    <w:p w:rsidR="00916E95" w:rsidRPr="00166DD8" w:rsidRDefault="00916E95" w:rsidP="00916E95">
      <w:pPr>
        <w:pStyle w:val="BodyText"/>
        <w:spacing w:after="0"/>
        <w:ind w:left="360" w:hanging="360"/>
        <w:jc w:val="both"/>
        <w:rPr>
          <w:rFonts w:ascii="Times New Roman" w:hAnsi="Times New Roman"/>
          <w:sz w:val="24"/>
          <w:szCs w:val="24"/>
        </w:rPr>
      </w:pPr>
    </w:p>
    <w:p w:rsidR="00916E95" w:rsidRPr="00166DD8" w:rsidRDefault="00916E95" w:rsidP="00916E95">
      <w:pPr>
        <w:pStyle w:val="BodyText"/>
        <w:spacing w:after="0"/>
        <w:ind w:left="360" w:hanging="360"/>
        <w:jc w:val="both"/>
        <w:rPr>
          <w:rFonts w:ascii="Times New Roman" w:hAnsi="Times New Roman"/>
          <w:sz w:val="24"/>
          <w:szCs w:val="24"/>
        </w:rPr>
      </w:pPr>
      <w:r w:rsidRPr="00166DD8">
        <w:rPr>
          <w:rFonts w:ascii="Times New Roman" w:hAnsi="Times New Roman"/>
          <w:sz w:val="24"/>
          <w:szCs w:val="24"/>
        </w:rPr>
        <w:t xml:space="preserve">d)  </w:t>
      </w:r>
      <w:r w:rsidRPr="00166DD8">
        <w:rPr>
          <w:rFonts w:ascii="Times New Roman" w:hAnsi="Times New Roman"/>
          <w:sz w:val="24"/>
          <w:szCs w:val="24"/>
          <w:u w:val="single"/>
        </w:rPr>
        <w:t>Professional Capacity / Autonomy</w:t>
      </w:r>
      <w:r w:rsidRPr="00166DD8">
        <w:rPr>
          <w:rFonts w:ascii="Times New Roman" w:hAnsi="Times New Roman"/>
          <w:sz w:val="24"/>
          <w:szCs w:val="24"/>
        </w:rPr>
        <w:t xml:space="preserve">:  Students will work toward their own research goals to develop their own ideas, and to present those ideas in the form of conference papers and presentations.  </w:t>
      </w:r>
    </w:p>
    <w:p w:rsidR="00916E95" w:rsidRPr="00166DD8" w:rsidRDefault="00916E95" w:rsidP="00916E95">
      <w:pPr>
        <w:pStyle w:val="BodyText"/>
        <w:spacing w:after="0"/>
        <w:ind w:left="360" w:hanging="360"/>
        <w:jc w:val="both"/>
        <w:rPr>
          <w:rFonts w:ascii="Times New Roman" w:hAnsi="Times New Roman"/>
          <w:sz w:val="24"/>
          <w:szCs w:val="24"/>
        </w:rPr>
      </w:pPr>
      <w:r w:rsidRPr="00166DD8">
        <w:rPr>
          <w:rFonts w:ascii="Times New Roman" w:hAnsi="Times New Roman"/>
          <w:sz w:val="24"/>
          <w:szCs w:val="24"/>
        </w:rPr>
        <w:tab/>
      </w:r>
      <w:r w:rsidRPr="00166DD8">
        <w:rPr>
          <w:rFonts w:ascii="Times New Roman" w:hAnsi="Times New Roman"/>
          <w:i/>
          <w:sz w:val="24"/>
          <w:szCs w:val="24"/>
        </w:rPr>
        <w:t>Intended learning outcome</w:t>
      </w:r>
      <w:r w:rsidRPr="00166DD8">
        <w:rPr>
          <w:rFonts w:ascii="Times New Roman" w:hAnsi="Times New Roman"/>
          <w:sz w:val="24"/>
          <w:szCs w:val="24"/>
        </w:rPr>
        <w:t>: Students will be</w:t>
      </w:r>
      <w:r w:rsidRPr="00166DD8">
        <w:rPr>
          <w:rFonts w:ascii="Times New Roman" w:hAnsi="Times New Roman"/>
          <w:i/>
          <w:sz w:val="24"/>
          <w:szCs w:val="24"/>
        </w:rPr>
        <w:t xml:space="preserve"> trained as highly-qualified personnel</w:t>
      </w:r>
      <w:r w:rsidRPr="00166DD8">
        <w:rPr>
          <w:rFonts w:ascii="Times New Roman" w:hAnsi="Times New Roman"/>
          <w:sz w:val="24"/>
          <w:szCs w:val="24"/>
        </w:rPr>
        <w:t>, able to translate their scholarship in both the classroom and the academic forum.</w:t>
      </w:r>
    </w:p>
    <w:p w:rsidR="00916E95" w:rsidRPr="00166DD8" w:rsidRDefault="00916E95" w:rsidP="00916E95">
      <w:pPr>
        <w:pStyle w:val="BodyText"/>
        <w:spacing w:after="0"/>
        <w:ind w:left="360" w:hanging="360"/>
        <w:jc w:val="both"/>
        <w:rPr>
          <w:rFonts w:ascii="Times New Roman" w:hAnsi="Times New Roman"/>
          <w:sz w:val="24"/>
          <w:szCs w:val="24"/>
        </w:rPr>
      </w:pPr>
    </w:p>
    <w:p w:rsidR="00916E95" w:rsidRPr="00166DD8" w:rsidRDefault="00916E95" w:rsidP="00916E95">
      <w:pPr>
        <w:pStyle w:val="BodyText"/>
        <w:spacing w:after="0"/>
        <w:ind w:left="360" w:hanging="360"/>
        <w:jc w:val="both"/>
        <w:rPr>
          <w:rFonts w:ascii="Times New Roman" w:hAnsi="Times New Roman"/>
          <w:i/>
          <w:sz w:val="24"/>
          <w:szCs w:val="24"/>
        </w:rPr>
      </w:pPr>
      <w:r w:rsidRPr="00166DD8">
        <w:rPr>
          <w:rFonts w:ascii="Times New Roman" w:hAnsi="Times New Roman"/>
          <w:sz w:val="24"/>
          <w:szCs w:val="24"/>
        </w:rPr>
        <w:t xml:space="preserve">e)  </w:t>
      </w:r>
      <w:r w:rsidRPr="00166DD8">
        <w:rPr>
          <w:rFonts w:ascii="Times New Roman" w:hAnsi="Times New Roman"/>
          <w:sz w:val="24"/>
          <w:szCs w:val="24"/>
          <w:u w:val="single"/>
        </w:rPr>
        <w:t>Level of Communication Skills</w:t>
      </w:r>
      <w:r w:rsidRPr="00166DD8">
        <w:rPr>
          <w:rFonts w:ascii="Times New Roman" w:hAnsi="Times New Roman"/>
          <w:sz w:val="24"/>
          <w:szCs w:val="24"/>
        </w:rPr>
        <w:t xml:space="preserve">:  Students will complete a series of assignments that provide </w:t>
      </w:r>
      <w:r w:rsidRPr="00166DD8">
        <w:rPr>
          <w:rFonts w:ascii="Times New Roman" w:hAnsi="Times New Roman"/>
          <w:sz w:val="24"/>
          <w:szCs w:val="24"/>
          <w:lang w:val="en"/>
        </w:rPr>
        <w:t xml:space="preserve">critical analyses of current knowledge and the creation of new knowledge.  They will also </w:t>
      </w:r>
      <w:r w:rsidRPr="00166DD8">
        <w:rPr>
          <w:rFonts w:ascii="Times New Roman" w:hAnsi="Times New Roman"/>
          <w:sz w:val="24"/>
          <w:szCs w:val="24"/>
          <w:lang w:val="en"/>
        </w:rPr>
        <w:lastRenderedPageBreak/>
        <w:t xml:space="preserve">participate in colloquia, seminars and conferences to orient them toward academic communication at professional events. </w:t>
      </w:r>
      <w:r w:rsidRPr="00166DD8">
        <w:rPr>
          <w:rFonts w:ascii="Times New Roman" w:hAnsi="Times New Roman"/>
          <w:i/>
          <w:sz w:val="24"/>
          <w:szCs w:val="24"/>
        </w:rPr>
        <w:t xml:space="preserve"> </w:t>
      </w:r>
    </w:p>
    <w:p w:rsidR="00916E95" w:rsidRPr="00166DD8" w:rsidRDefault="00916E95" w:rsidP="00916E95">
      <w:pPr>
        <w:pStyle w:val="BodyText"/>
        <w:spacing w:after="0"/>
        <w:ind w:left="360" w:hanging="360"/>
        <w:jc w:val="both"/>
        <w:rPr>
          <w:rFonts w:ascii="Times New Roman" w:hAnsi="Times New Roman"/>
          <w:sz w:val="24"/>
          <w:szCs w:val="24"/>
        </w:rPr>
      </w:pPr>
      <w:r w:rsidRPr="00166DD8">
        <w:rPr>
          <w:rFonts w:ascii="Times New Roman" w:hAnsi="Times New Roman"/>
          <w:i/>
          <w:sz w:val="24"/>
          <w:szCs w:val="24"/>
        </w:rPr>
        <w:tab/>
        <w:t>Intended learning outcome</w:t>
      </w:r>
      <w:r w:rsidRPr="00166DD8">
        <w:rPr>
          <w:rFonts w:ascii="Times New Roman" w:hAnsi="Times New Roman"/>
          <w:sz w:val="24"/>
          <w:szCs w:val="24"/>
        </w:rPr>
        <w:t xml:space="preserve">: Students will </w:t>
      </w:r>
      <w:r w:rsidRPr="00166DD8">
        <w:rPr>
          <w:rFonts w:ascii="Times New Roman" w:hAnsi="Times New Roman"/>
          <w:i/>
          <w:sz w:val="24"/>
          <w:szCs w:val="24"/>
        </w:rPr>
        <w:t>develop rigorous writing and research skills</w:t>
      </w:r>
      <w:r w:rsidRPr="00166DD8">
        <w:rPr>
          <w:rFonts w:ascii="Times New Roman" w:hAnsi="Times New Roman"/>
          <w:sz w:val="24"/>
          <w:szCs w:val="24"/>
        </w:rPr>
        <w:t xml:space="preserve"> to assist them in developing and disseminating their own ideas.</w:t>
      </w:r>
    </w:p>
    <w:p w:rsidR="00916E95" w:rsidRPr="00166DD8" w:rsidRDefault="00916E95" w:rsidP="00916E95">
      <w:pPr>
        <w:pStyle w:val="BodyText"/>
        <w:spacing w:after="0"/>
        <w:ind w:left="360" w:hanging="360"/>
        <w:jc w:val="both"/>
        <w:rPr>
          <w:rFonts w:ascii="Times New Roman" w:hAnsi="Times New Roman"/>
          <w:sz w:val="24"/>
          <w:szCs w:val="24"/>
        </w:rPr>
      </w:pPr>
    </w:p>
    <w:p w:rsidR="00916E95" w:rsidRPr="00166DD8" w:rsidRDefault="00916E95" w:rsidP="00916E95">
      <w:pPr>
        <w:pStyle w:val="BodyText"/>
        <w:spacing w:after="0"/>
        <w:ind w:left="360" w:hanging="360"/>
        <w:jc w:val="both"/>
        <w:rPr>
          <w:rFonts w:ascii="Times New Roman" w:hAnsi="Times New Roman"/>
          <w:sz w:val="24"/>
          <w:szCs w:val="24"/>
        </w:rPr>
      </w:pPr>
      <w:r w:rsidRPr="00166DD8">
        <w:rPr>
          <w:rFonts w:ascii="Times New Roman" w:hAnsi="Times New Roman"/>
          <w:sz w:val="24"/>
          <w:szCs w:val="24"/>
        </w:rPr>
        <w:t xml:space="preserve">f)   </w:t>
      </w:r>
      <w:r w:rsidRPr="00166DD8">
        <w:rPr>
          <w:rFonts w:ascii="Times New Roman" w:hAnsi="Times New Roman"/>
          <w:sz w:val="24"/>
          <w:szCs w:val="24"/>
          <w:u w:val="single"/>
        </w:rPr>
        <w:t>Awareness of Limits of Knowledge</w:t>
      </w:r>
      <w:r w:rsidRPr="00166DD8">
        <w:rPr>
          <w:rFonts w:ascii="Times New Roman" w:hAnsi="Times New Roman"/>
          <w:sz w:val="24"/>
          <w:szCs w:val="24"/>
        </w:rPr>
        <w:t xml:space="preserve">:  Students will undertake a </w:t>
      </w:r>
      <w:r w:rsidRPr="00166DD8">
        <w:rPr>
          <w:rFonts w:ascii="Times New Roman" w:hAnsi="Times New Roman"/>
          <w:sz w:val="24"/>
          <w:szCs w:val="24"/>
          <w:lang w:val="en"/>
        </w:rPr>
        <w:t xml:space="preserve">program of advanced study and research </w:t>
      </w:r>
      <w:r w:rsidRPr="00166DD8">
        <w:rPr>
          <w:rFonts w:ascii="Times New Roman" w:hAnsi="Times New Roman"/>
          <w:sz w:val="24"/>
          <w:szCs w:val="24"/>
        </w:rPr>
        <w:t xml:space="preserve">in the field of transitional justice and post-conflict reconstruction.  </w:t>
      </w:r>
    </w:p>
    <w:p w:rsidR="00916E95" w:rsidRPr="00166DD8" w:rsidRDefault="00916E95" w:rsidP="00916E95">
      <w:pPr>
        <w:pStyle w:val="BodyText"/>
        <w:spacing w:after="0"/>
        <w:ind w:left="360" w:hanging="360"/>
        <w:jc w:val="both"/>
        <w:rPr>
          <w:rFonts w:ascii="Times New Roman" w:hAnsi="Times New Roman"/>
          <w:sz w:val="24"/>
          <w:szCs w:val="24"/>
        </w:rPr>
      </w:pPr>
      <w:r w:rsidRPr="00166DD8">
        <w:rPr>
          <w:rFonts w:ascii="Times New Roman" w:hAnsi="Times New Roman"/>
          <w:sz w:val="24"/>
          <w:szCs w:val="24"/>
        </w:rPr>
        <w:tab/>
      </w:r>
      <w:r w:rsidRPr="00166DD8">
        <w:rPr>
          <w:rFonts w:ascii="Times New Roman" w:hAnsi="Times New Roman"/>
          <w:i/>
          <w:sz w:val="24"/>
          <w:szCs w:val="24"/>
        </w:rPr>
        <w:t>Intended learning outcome</w:t>
      </w:r>
      <w:r w:rsidRPr="00166DD8">
        <w:rPr>
          <w:rFonts w:ascii="Times New Roman" w:hAnsi="Times New Roman"/>
          <w:sz w:val="24"/>
          <w:szCs w:val="24"/>
        </w:rPr>
        <w:t xml:space="preserve">: Students will be </w:t>
      </w:r>
      <w:r w:rsidRPr="00166DD8">
        <w:rPr>
          <w:rFonts w:ascii="Times New Roman" w:hAnsi="Times New Roman"/>
          <w:i/>
          <w:sz w:val="24"/>
          <w:szCs w:val="24"/>
        </w:rPr>
        <w:t>exposed to the breadth and expanse of interdisciplinary scholarship</w:t>
      </w:r>
      <w:r w:rsidRPr="00166DD8">
        <w:rPr>
          <w:rFonts w:ascii="Times New Roman" w:hAnsi="Times New Roman"/>
          <w:sz w:val="24"/>
          <w:szCs w:val="24"/>
        </w:rPr>
        <w:t xml:space="preserve"> in the field of transitional justice and post-conflict reconstruction.</w:t>
      </w:r>
    </w:p>
    <w:p w:rsidR="003D67CA" w:rsidRDefault="003D67CA" w:rsidP="003D67CA">
      <w:pPr>
        <w:jc w:val="both"/>
        <w:rPr>
          <w:b/>
          <w:color w:val="000000"/>
        </w:rPr>
      </w:pPr>
    </w:p>
    <w:p w:rsidR="00D724B0" w:rsidRDefault="00D724B0" w:rsidP="003D67CA">
      <w:pPr>
        <w:jc w:val="both"/>
        <w:rPr>
          <w:b/>
          <w:color w:val="000000"/>
        </w:rPr>
      </w:pPr>
    </w:p>
    <w:p w:rsidR="00916E95" w:rsidRDefault="00916E95" w:rsidP="00916E95">
      <w:pPr>
        <w:pStyle w:val="Default"/>
        <w:rPr>
          <w:rFonts w:ascii="Times New Roman" w:hAnsi="Times New Roman" w:cs="Times New Roman"/>
        </w:rPr>
      </w:pPr>
      <w:r w:rsidRPr="00DC061F">
        <w:rPr>
          <w:rFonts w:ascii="Times New Roman" w:hAnsi="Times New Roman" w:cs="Times New Roman"/>
        </w:rPr>
        <w:t xml:space="preserve">By the end of the course students should be able to: </w:t>
      </w:r>
    </w:p>
    <w:p w:rsidR="00916E95" w:rsidRPr="00DC061F" w:rsidRDefault="00916E95" w:rsidP="00916E95">
      <w:pPr>
        <w:pStyle w:val="Default"/>
        <w:rPr>
          <w:rFonts w:ascii="Times New Roman" w:hAnsi="Times New Roman" w:cs="Times New Roman"/>
        </w:rPr>
      </w:pPr>
    </w:p>
    <w:p w:rsidR="00916E95" w:rsidRPr="00DC061F" w:rsidRDefault="00916E95" w:rsidP="00916E95">
      <w:pPr>
        <w:pStyle w:val="Default"/>
        <w:rPr>
          <w:rFonts w:ascii="Times New Roman" w:hAnsi="Times New Roman" w:cs="Times New Roman"/>
        </w:rPr>
      </w:pPr>
      <w:r w:rsidRPr="00DC061F">
        <w:rPr>
          <w:rFonts w:ascii="Times New Roman" w:hAnsi="Times New Roman" w:cs="Times New Roman"/>
        </w:rPr>
        <w:t xml:space="preserve">1. Discuss different approaches to transitional justice </w:t>
      </w:r>
    </w:p>
    <w:p w:rsidR="00916E95" w:rsidRPr="00DC061F" w:rsidRDefault="00916E95" w:rsidP="00916E95">
      <w:pPr>
        <w:pStyle w:val="Default"/>
        <w:rPr>
          <w:rFonts w:ascii="Times New Roman" w:hAnsi="Times New Roman" w:cs="Times New Roman"/>
        </w:rPr>
      </w:pPr>
      <w:r w:rsidRPr="00DC061F">
        <w:rPr>
          <w:rFonts w:ascii="Times New Roman" w:hAnsi="Times New Roman" w:cs="Times New Roman"/>
        </w:rPr>
        <w:t xml:space="preserve">2. Describe the key events, changes over time and the current state of transitional justice </w:t>
      </w:r>
    </w:p>
    <w:p w:rsidR="00916E95" w:rsidRPr="00DC061F" w:rsidRDefault="00916E95" w:rsidP="00916E95">
      <w:pPr>
        <w:pStyle w:val="Default"/>
        <w:rPr>
          <w:rFonts w:ascii="Times New Roman" w:hAnsi="Times New Roman" w:cs="Times New Roman"/>
        </w:rPr>
      </w:pPr>
      <w:r w:rsidRPr="00DC061F">
        <w:rPr>
          <w:rFonts w:ascii="Times New Roman" w:hAnsi="Times New Roman" w:cs="Times New Roman"/>
        </w:rPr>
        <w:t>3. Think critically and write about an issue in transitional justice</w:t>
      </w:r>
    </w:p>
    <w:p w:rsidR="00916E95" w:rsidRPr="00DC061F" w:rsidRDefault="00916E95" w:rsidP="00916E95">
      <w:pPr>
        <w:pStyle w:val="Default"/>
        <w:rPr>
          <w:rFonts w:ascii="Times New Roman" w:hAnsi="Times New Roman" w:cs="Times New Roman"/>
        </w:rPr>
      </w:pPr>
      <w:r w:rsidRPr="00DC061F">
        <w:rPr>
          <w:rFonts w:ascii="Times New Roman" w:hAnsi="Times New Roman" w:cs="Times New Roman"/>
        </w:rPr>
        <w:t>4. Evaluate the effectiveness of a policy or inter-state issue in transitional justice</w:t>
      </w:r>
    </w:p>
    <w:p w:rsidR="00916E95" w:rsidRPr="00DC061F" w:rsidRDefault="00916E95" w:rsidP="00916E95">
      <w:pPr>
        <w:pStyle w:val="Default"/>
        <w:rPr>
          <w:rFonts w:ascii="Times New Roman" w:hAnsi="Times New Roman" w:cs="Times New Roman"/>
        </w:rPr>
      </w:pPr>
      <w:r w:rsidRPr="00DC061F">
        <w:rPr>
          <w:rFonts w:ascii="Times New Roman" w:hAnsi="Times New Roman" w:cs="Times New Roman"/>
        </w:rPr>
        <w:t xml:space="preserve">5. Participate in a presentation about a particular theoretical perspective through a case study of transitional justice </w:t>
      </w:r>
    </w:p>
    <w:p w:rsidR="00916E95" w:rsidRPr="00DC061F" w:rsidRDefault="00916E95" w:rsidP="00916E95">
      <w:pPr>
        <w:pStyle w:val="Default"/>
        <w:rPr>
          <w:rFonts w:ascii="Times New Roman" w:hAnsi="Times New Roman" w:cs="Times New Roman"/>
        </w:rPr>
      </w:pPr>
      <w:r w:rsidRPr="00DC061F">
        <w:rPr>
          <w:rFonts w:ascii="Times New Roman" w:hAnsi="Times New Roman" w:cs="Times New Roman"/>
        </w:rPr>
        <w:t>6. Analyze current policy and political issues in transitional justice</w:t>
      </w:r>
    </w:p>
    <w:p w:rsidR="00916E95" w:rsidRPr="00DC061F" w:rsidRDefault="00916E95" w:rsidP="00916E95">
      <w:r w:rsidRPr="00DC061F">
        <w:t>7. Discuss a current transitional justice issue in historical context</w:t>
      </w:r>
    </w:p>
    <w:p w:rsidR="00916E95" w:rsidRDefault="00916E95" w:rsidP="003D67CA">
      <w:pPr>
        <w:jc w:val="both"/>
        <w:rPr>
          <w:b/>
          <w:color w:val="000000"/>
        </w:rPr>
      </w:pPr>
    </w:p>
    <w:p w:rsidR="00337C43" w:rsidRDefault="00337C43" w:rsidP="003D67CA">
      <w:pPr>
        <w:jc w:val="both"/>
        <w:rPr>
          <w:b/>
          <w:color w:val="000000"/>
        </w:rPr>
      </w:pPr>
    </w:p>
    <w:p w:rsidR="00916E95" w:rsidRDefault="00916E95" w:rsidP="00916E95">
      <w:pPr>
        <w:rPr>
          <w:b/>
          <w:color w:val="000000"/>
        </w:rPr>
      </w:pPr>
    </w:p>
    <w:p w:rsidR="00916E95" w:rsidRDefault="00916E95" w:rsidP="00916E95">
      <w:pPr>
        <w:rPr>
          <w:b/>
          <w:color w:val="000000"/>
        </w:rPr>
      </w:pPr>
    </w:p>
    <w:p w:rsidR="00337C43" w:rsidRDefault="00337C43">
      <w:pPr>
        <w:rPr>
          <w:b/>
          <w:color w:val="000000"/>
        </w:rPr>
      </w:pPr>
      <w:r>
        <w:rPr>
          <w:b/>
          <w:color w:val="000000"/>
        </w:rPr>
        <w:br w:type="page"/>
      </w:r>
    </w:p>
    <w:p w:rsidR="00916E95" w:rsidRPr="005E0B03" w:rsidRDefault="00916E95" w:rsidP="00916E95">
      <w:pPr>
        <w:rPr>
          <w:color w:val="000000"/>
        </w:rPr>
      </w:pPr>
      <w:r w:rsidRPr="005E0B03">
        <w:rPr>
          <w:b/>
          <w:color w:val="000000"/>
        </w:rPr>
        <w:lastRenderedPageBreak/>
        <w:t>Grade Distribution</w:t>
      </w:r>
    </w:p>
    <w:p w:rsidR="00916E95" w:rsidRPr="005E0B03" w:rsidRDefault="00916E95" w:rsidP="00916E95">
      <w:pPr>
        <w:rPr>
          <w:color w:val="000000"/>
        </w:rPr>
      </w:pPr>
    </w:p>
    <w:p w:rsidR="00916E95" w:rsidRPr="00337C43" w:rsidRDefault="00916E95" w:rsidP="00916E95">
      <w:pPr>
        <w:rPr>
          <w:lang w:val="en-CA"/>
        </w:rPr>
      </w:pPr>
      <w:r w:rsidRPr="00337C43">
        <w:rPr>
          <w:lang w:val="en-CA"/>
        </w:rPr>
        <w:t>Essay (due March 2</w:t>
      </w:r>
      <w:r w:rsidR="00337C43" w:rsidRPr="00337C43">
        <w:rPr>
          <w:lang w:val="en-CA"/>
        </w:rPr>
        <w:t>2</w:t>
      </w:r>
      <w:r w:rsidRPr="00337C43">
        <w:rPr>
          <w:lang w:val="en-CA"/>
        </w:rPr>
        <w:t>)</w:t>
      </w:r>
      <w:r w:rsidRPr="00337C43">
        <w:rPr>
          <w:lang w:val="en-CA"/>
        </w:rPr>
        <w:tab/>
      </w:r>
      <w:r w:rsidRPr="00337C43">
        <w:rPr>
          <w:lang w:val="en-CA"/>
        </w:rPr>
        <w:tab/>
      </w:r>
      <w:r w:rsidRPr="00337C43">
        <w:rPr>
          <w:lang w:val="en-CA"/>
        </w:rPr>
        <w:tab/>
      </w:r>
      <w:r w:rsidRPr="00337C43">
        <w:rPr>
          <w:lang w:val="en-CA"/>
        </w:rPr>
        <w:tab/>
        <w:t>60%</w:t>
      </w:r>
    </w:p>
    <w:p w:rsidR="00916E95" w:rsidRPr="00337C43" w:rsidRDefault="00916E95" w:rsidP="00916E95">
      <w:pPr>
        <w:rPr>
          <w:lang w:val="en-CA"/>
        </w:rPr>
      </w:pPr>
      <w:r w:rsidRPr="00337C43">
        <w:rPr>
          <w:lang w:val="en-CA"/>
        </w:rPr>
        <w:t>Seminar Presentation</w:t>
      </w:r>
      <w:r w:rsidRPr="00337C43">
        <w:rPr>
          <w:lang w:val="en-CA"/>
        </w:rPr>
        <w:tab/>
      </w:r>
      <w:r w:rsidRPr="00337C43">
        <w:rPr>
          <w:lang w:val="en-CA"/>
        </w:rPr>
        <w:tab/>
      </w:r>
      <w:r w:rsidRPr="00337C43">
        <w:rPr>
          <w:lang w:val="en-CA"/>
        </w:rPr>
        <w:tab/>
      </w:r>
      <w:r w:rsidRPr="00337C43">
        <w:rPr>
          <w:lang w:val="en-CA"/>
        </w:rPr>
        <w:tab/>
        <w:t>20%</w:t>
      </w:r>
    </w:p>
    <w:p w:rsidR="00916E95" w:rsidRDefault="00916E95" w:rsidP="00916E95">
      <w:pPr>
        <w:rPr>
          <w:color w:val="000000"/>
          <w:lang w:val="en-CA"/>
        </w:rPr>
      </w:pPr>
      <w:r w:rsidRPr="005E0B03">
        <w:rPr>
          <w:color w:val="000000"/>
          <w:lang w:val="en-CA"/>
        </w:rPr>
        <w:t>Seminar Participation</w:t>
      </w:r>
      <w:r w:rsidRPr="005E0B03">
        <w:rPr>
          <w:color w:val="000000"/>
          <w:lang w:val="en-CA"/>
        </w:rPr>
        <w:tab/>
      </w:r>
      <w:r w:rsidRPr="005E0B03">
        <w:rPr>
          <w:color w:val="000000"/>
          <w:lang w:val="en-CA"/>
        </w:rPr>
        <w:tab/>
      </w:r>
      <w:r w:rsidRPr="005E0B03">
        <w:rPr>
          <w:color w:val="000000"/>
          <w:lang w:val="en-CA"/>
        </w:rPr>
        <w:tab/>
      </w:r>
      <w:r w:rsidRPr="005E0B03">
        <w:rPr>
          <w:color w:val="000000"/>
          <w:lang w:val="en-CA"/>
        </w:rPr>
        <w:tab/>
        <w:t>2</w:t>
      </w:r>
      <w:r>
        <w:rPr>
          <w:color w:val="000000"/>
          <w:lang w:val="en-CA"/>
        </w:rPr>
        <w:t>0</w:t>
      </w:r>
      <w:r w:rsidRPr="005E0B03">
        <w:rPr>
          <w:color w:val="000000"/>
          <w:lang w:val="en-CA"/>
        </w:rPr>
        <w:t>%</w:t>
      </w:r>
    </w:p>
    <w:p w:rsidR="00916E95" w:rsidRDefault="00916E95" w:rsidP="00916E95">
      <w:pPr>
        <w:rPr>
          <w:color w:val="000000"/>
          <w:lang w:val="en-CA"/>
        </w:rPr>
      </w:pPr>
      <w:r>
        <w:rPr>
          <w:color w:val="000000"/>
          <w:lang w:val="en-CA"/>
        </w:rPr>
        <w:br/>
      </w:r>
    </w:p>
    <w:p w:rsidR="00916E95" w:rsidRPr="005E0B03" w:rsidRDefault="00916E95" w:rsidP="00916E95">
      <w:pPr>
        <w:rPr>
          <w:b/>
          <w:bCs/>
          <w:color w:val="000000"/>
        </w:rPr>
      </w:pPr>
      <w:r w:rsidRPr="005E0B03">
        <w:rPr>
          <w:b/>
          <w:bCs/>
          <w:color w:val="000000"/>
        </w:rPr>
        <w:t>Essay</w:t>
      </w:r>
      <w:r w:rsidRPr="005E0B03">
        <w:rPr>
          <w:b/>
          <w:bCs/>
          <w:color w:val="000000"/>
        </w:rPr>
        <w:tab/>
      </w:r>
      <w:r w:rsidRPr="005E0B03">
        <w:rPr>
          <w:b/>
          <w:bCs/>
          <w:color w:val="000000"/>
        </w:rPr>
        <w:tab/>
      </w:r>
      <w:r w:rsidRPr="005E0B03">
        <w:rPr>
          <w:b/>
          <w:bCs/>
          <w:color w:val="000000"/>
        </w:rPr>
        <w:tab/>
      </w:r>
      <w:r w:rsidRPr="005E0B03">
        <w:rPr>
          <w:b/>
          <w:bCs/>
          <w:color w:val="000000"/>
        </w:rPr>
        <w:tab/>
      </w:r>
      <w:r w:rsidRPr="005E0B03">
        <w:rPr>
          <w:b/>
          <w:bCs/>
          <w:color w:val="000000"/>
        </w:rPr>
        <w:tab/>
      </w:r>
      <w:r w:rsidRPr="005E0B03">
        <w:rPr>
          <w:b/>
          <w:bCs/>
          <w:color w:val="000000"/>
        </w:rPr>
        <w:tab/>
      </w:r>
      <w:r w:rsidRPr="005E0B03">
        <w:rPr>
          <w:b/>
          <w:bCs/>
          <w:color w:val="000000"/>
        </w:rPr>
        <w:tab/>
      </w:r>
      <w:r w:rsidRPr="005E0B03">
        <w:rPr>
          <w:b/>
          <w:bCs/>
          <w:color w:val="000000"/>
        </w:rPr>
        <w:tab/>
      </w:r>
    </w:p>
    <w:p w:rsidR="00916E95" w:rsidRPr="005E0B03" w:rsidRDefault="00916E95" w:rsidP="00916E95">
      <w:pPr>
        <w:jc w:val="both"/>
        <w:rPr>
          <w:color w:val="000000"/>
        </w:rPr>
      </w:pPr>
    </w:p>
    <w:p w:rsidR="00916E95" w:rsidRPr="00BD1EFF" w:rsidRDefault="00D724B0" w:rsidP="00916E95">
      <w:pPr>
        <w:jc w:val="both"/>
        <w:rPr>
          <w:b/>
        </w:rPr>
      </w:pPr>
      <w:r>
        <w:rPr>
          <w:color w:val="000000"/>
        </w:rPr>
        <w:t>Students</w:t>
      </w:r>
      <w:r w:rsidR="00916E95" w:rsidRPr="005E0B03">
        <w:rPr>
          <w:color w:val="000000"/>
        </w:rPr>
        <w:t xml:space="preserve"> will be required to write one term essay of </w:t>
      </w:r>
      <w:r w:rsidR="00916E95">
        <w:rPr>
          <w:color w:val="000000"/>
        </w:rPr>
        <w:t>25-30</w:t>
      </w:r>
      <w:r w:rsidR="00916E95" w:rsidRPr="005E0B03">
        <w:rPr>
          <w:color w:val="000000"/>
        </w:rPr>
        <w:t xml:space="preserve"> typed, double-spaced pages, or between </w:t>
      </w:r>
      <w:r w:rsidR="00916E95">
        <w:rPr>
          <w:color w:val="000000"/>
        </w:rPr>
        <w:t>6250-7500</w:t>
      </w:r>
      <w:r w:rsidR="00916E95" w:rsidRPr="005E0B03">
        <w:rPr>
          <w:color w:val="000000"/>
        </w:rPr>
        <w:t xml:space="preserve"> words.  </w:t>
      </w:r>
      <w:r>
        <w:rPr>
          <w:color w:val="000000"/>
        </w:rPr>
        <w:t>Students are encouraged to speak with the instructor about their proposed topic</w:t>
      </w:r>
      <w:r w:rsidR="00916E95" w:rsidRPr="005E0B03">
        <w:rPr>
          <w:color w:val="000000"/>
        </w:rPr>
        <w:t xml:space="preserve">.  The completed paper must be submitted </w:t>
      </w:r>
      <w:r w:rsidR="00916E95" w:rsidRPr="00BD1EFF">
        <w:rPr>
          <w:b/>
          <w:bCs/>
        </w:rPr>
        <w:t xml:space="preserve">at the beginning of class on Wednesday, </w:t>
      </w:r>
      <w:r w:rsidR="00916E95">
        <w:rPr>
          <w:b/>
          <w:bCs/>
        </w:rPr>
        <w:t>March 2</w:t>
      </w:r>
      <w:r w:rsidR="00337C43">
        <w:rPr>
          <w:b/>
          <w:bCs/>
        </w:rPr>
        <w:t>2</w:t>
      </w:r>
      <w:r w:rsidR="00916E95" w:rsidRPr="00BD1EFF">
        <w:rPr>
          <w:b/>
          <w:bCs/>
        </w:rPr>
        <w:t>, 201</w:t>
      </w:r>
      <w:r w:rsidR="00337C43">
        <w:rPr>
          <w:b/>
          <w:bCs/>
        </w:rPr>
        <w:t>7</w:t>
      </w:r>
      <w:r w:rsidR="00916E95" w:rsidRPr="00BD1EFF">
        <w:t xml:space="preserve">.  </w:t>
      </w:r>
    </w:p>
    <w:p w:rsidR="00916E95" w:rsidRPr="00BD1EFF" w:rsidRDefault="00916E95" w:rsidP="00916E95">
      <w:pPr>
        <w:jc w:val="both"/>
      </w:pPr>
    </w:p>
    <w:p w:rsidR="00337C43" w:rsidRPr="008F5BF2" w:rsidRDefault="00337C43" w:rsidP="00337C43">
      <w:pPr>
        <w:jc w:val="both"/>
        <w:rPr>
          <w:u w:val="single"/>
        </w:rPr>
      </w:pPr>
      <w:r w:rsidRPr="008F5BF2">
        <w:rPr>
          <w:u w:val="single"/>
        </w:rPr>
        <w:t>Late Penalty</w:t>
      </w:r>
    </w:p>
    <w:p w:rsidR="00337C43" w:rsidRPr="008F5BF2" w:rsidRDefault="00337C43" w:rsidP="00337C43">
      <w:pPr>
        <w:jc w:val="both"/>
        <w:rPr>
          <w:b/>
        </w:rPr>
      </w:pPr>
      <w:r w:rsidRPr="008F5BF2">
        <w:t xml:space="preserve">The completed paper must be submitted </w:t>
      </w:r>
      <w:r w:rsidRPr="008F5BF2">
        <w:rPr>
          <w:b/>
          <w:bCs/>
        </w:rPr>
        <w:t xml:space="preserve">at the beginning of class on </w:t>
      </w:r>
      <w:r>
        <w:rPr>
          <w:b/>
          <w:bCs/>
        </w:rPr>
        <w:t>March 22</w:t>
      </w:r>
      <w:r w:rsidRPr="008F5BF2">
        <w:t xml:space="preserve">.  </w:t>
      </w:r>
      <w:r w:rsidRPr="008F5BF2">
        <w:rPr>
          <w:b/>
        </w:rPr>
        <w:t xml:space="preserve">A late penalty of 10% per day will be applied to papers submitted at any point after the class begins on </w:t>
      </w:r>
      <w:r>
        <w:rPr>
          <w:b/>
        </w:rPr>
        <w:t>March 22</w:t>
      </w:r>
      <w:r w:rsidRPr="008F5BF2">
        <w:rPr>
          <w:b/>
        </w:rPr>
        <w:t xml:space="preserve">.  </w:t>
      </w:r>
    </w:p>
    <w:p w:rsidR="00337C43" w:rsidRPr="008F5BF2" w:rsidRDefault="00337C43" w:rsidP="00337C43">
      <w:pPr>
        <w:jc w:val="both"/>
        <w:rPr>
          <w:b/>
        </w:rPr>
      </w:pPr>
    </w:p>
    <w:p w:rsidR="00337C43" w:rsidRPr="008F5BF2" w:rsidRDefault="00337C43" w:rsidP="00337C43">
      <w:pPr>
        <w:jc w:val="both"/>
        <w:rPr>
          <w:rFonts w:cs="Calibri"/>
          <w:color w:val="000000"/>
          <w:u w:val="single"/>
        </w:rPr>
      </w:pPr>
      <w:r w:rsidRPr="008F5BF2">
        <w:rPr>
          <w:rFonts w:cs="Calibri"/>
          <w:color w:val="000000"/>
          <w:u w:val="single"/>
        </w:rPr>
        <w:t>Turnitin</w:t>
      </w:r>
    </w:p>
    <w:p w:rsidR="00337C43" w:rsidRPr="008F5BF2" w:rsidRDefault="00337C43" w:rsidP="00337C43">
      <w:pPr>
        <w:jc w:val="both"/>
      </w:pPr>
      <w:r w:rsidRPr="008F5BF2">
        <w:t xml:space="preserve">Essays must be submitted to Turnitin.com, using the link on OWL, prior to the start of class on </w:t>
      </w:r>
      <w:r>
        <w:t>March 22</w:t>
      </w:r>
      <w:r w:rsidRPr="008F5BF2">
        <w:t>.</w:t>
      </w:r>
    </w:p>
    <w:p w:rsidR="00337C43" w:rsidRPr="008F5BF2" w:rsidRDefault="00337C43" w:rsidP="00337C43">
      <w:pPr>
        <w:jc w:val="both"/>
      </w:pPr>
    </w:p>
    <w:p w:rsidR="00337C43" w:rsidRPr="008F5BF2" w:rsidRDefault="00337C43" w:rsidP="00337C43">
      <w:pPr>
        <w:jc w:val="both"/>
        <w:rPr>
          <w:bCs/>
          <w:u w:val="single"/>
        </w:rPr>
      </w:pPr>
      <w:r w:rsidRPr="008F5BF2">
        <w:rPr>
          <w:u w:val="single"/>
        </w:rPr>
        <w:t>Citation Style</w:t>
      </w:r>
    </w:p>
    <w:p w:rsidR="00337C43" w:rsidRPr="008F5BF2" w:rsidRDefault="00337C43" w:rsidP="00337C43">
      <w:pPr>
        <w:rPr>
          <w:bCs/>
        </w:rPr>
      </w:pPr>
      <w:r w:rsidRPr="008F5BF2">
        <w:t xml:space="preserve">Citations </w:t>
      </w:r>
      <w:r w:rsidRPr="008F5BF2">
        <w:rPr>
          <w:b/>
        </w:rPr>
        <w:t>must</w:t>
      </w:r>
      <w:r w:rsidRPr="008F5BF2">
        <w:t xml:space="preserve"> be formatted using Chicago-style footnotes, not in-text citations.  </w:t>
      </w:r>
      <w:r w:rsidRPr="008F5BF2">
        <w:rPr>
          <w:bCs/>
        </w:rPr>
        <w:t xml:space="preserve"> Students are advised to consult a writer’s handbook when composing their essays in order to see how to format things like bibliography and footnotes.  One excellent handbook is </w:t>
      </w:r>
      <w:r w:rsidRPr="008F5BF2">
        <w:rPr>
          <w:bCs/>
          <w:i/>
        </w:rPr>
        <w:t>A Manual for Writers of Term Papers, Theses, and Dissertations</w:t>
      </w:r>
      <w:r w:rsidRPr="008F5BF2">
        <w:rPr>
          <w:bCs/>
        </w:rPr>
        <w:t xml:space="preserve"> by Kate L. Turabian.  A useful link may be found at the following url:  </w:t>
      </w:r>
      <w:r w:rsidRPr="008F5BF2">
        <w:rPr>
          <w:bCs/>
          <w:iCs/>
        </w:rPr>
        <w:t>http://www.wisc.edu/writing/Handbook/DocChicago.html</w:t>
      </w:r>
      <w:r w:rsidRPr="008F5BF2">
        <w:rPr>
          <w:bCs/>
        </w:rPr>
        <w:t>.</w:t>
      </w:r>
    </w:p>
    <w:p w:rsidR="00337C43" w:rsidRPr="008F5BF2" w:rsidRDefault="00337C43" w:rsidP="00337C43">
      <w:pPr>
        <w:jc w:val="both"/>
        <w:rPr>
          <w:bCs/>
        </w:rPr>
      </w:pPr>
    </w:p>
    <w:p w:rsidR="00337C43" w:rsidRPr="008F5BF2" w:rsidRDefault="00337C43" w:rsidP="00337C43">
      <w:pPr>
        <w:jc w:val="both"/>
        <w:rPr>
          <w:bCs/>
          <w:u w:val="single"/>
        </w:rPr>
      </w:pPr>
      <w:r w:rsidRPr="008F5BF2">
        <w:rPr>
          <w:bCs/>
          <w:u w:val="single"/>
        </w:rPr>
        <w:t>Spelling and Grammatical Errors</w:t>
      </w:r>
    </w:p>
    <w:p w:rsidR="00337C43" w:rsidRPr="008F5BF2" w:rsidRDefault="00337C43" w:rsidP="00337C43">
      <w:pPr>
        <w:jc w:val="both"/>
        <w:rPr>
          <w:bCs/>
        </w:rPr>
      </w:pPr>
      <w:r w:rsidRPr="008F5BF2">
        <w:rPr>
          <w:bCs/>
        </w:rPr>
        <w:t xml:space="preserve">Grammatical, spelling and other errors are not acceptable.  </w:t>
      </w:r>
      <w:r w:rsidR="00D724B0">
        <w:rPr>
          <w:bCs/>
        </w:rPr>
        <w:t>Students</w:t>
      </w:r>
      <w:r w:rsidRPr="008F5BF2">
        <w:rPr>
          <w:bCs/>
        </w:rPr>
        <w:t xml:space="preserve"> are responsible for </w:t>
      </w:r>
      <w:r w:rsidR="00D724B0">
        <w:rPr>
          <w:bCs/>
        </w:rPr>
        <w:t>their</w:t>
      </w:r>
      <w:r w:rsidRPr="008F5BF2">
        <w:rPr>
          <w:bCs/>
        </w:rPr>
        <w:t xml:space="preserve"> own work, and, as such, </w:t>
      </w:r>
      <w:r w:rsidR="00D724B0">
        <w:rPr>
          <w:bCs/>
        </w:rPr>
        <w:t>students</w:t>
      </w:r>
      <w:r w:rsidRPr="008F5BF2">
        <w:rPr>
          <w:bCs/>
        </w:rPr>
        <w:t xml:space="preserve"> must be careful to proofread </w:t>
      </w:r>
      <w:r w:rsidR="00D724B0">
        <w:rPr>
          <w:bCs/>
        </w:rPr>
        <w:t>their</w:t>
      </w:r>
      <w:r w:rsidRPr="008F5BF2">
        <w:rPr>
          <w:bCs/>
        </w:rPr>
        <w:t xml:space="preserve"> work before turning it in.</w:t>
      </w:r>
    </w:p>
    <w:p w:rsidR="00337C43" w:rsidRPr="008F5BF2" w:rsidRDefault="00337C43" w:rsidP="00337C43">
      <w:pPr>
        <w:jc w:val="both"/>
        <w:rPr>
          <w:bCs/>
        </w:rPr>
      </w:pPr>
    </w:p>
    <w:p w:rsidR="00337C43" w:rsidRPr="008F5BF2" w:rsidRDefault="00337C43" w:rsidP="00337C43">
      <w:pPr>
        <w:autoSpaceDE w:val="0"/>
        <w:autoSpaceDN w:val="0"/>
        <w:adjustRightInd w:val="0"/>
        <w:rPr>
          <w:rFonts w:cs="Calibri"/>
          <w:u w:val="single"/>
        </w:rPr>
      </w:pPr>
      <w:r w:rsidRPr="00BB6C1A">
        <w:rPr>
          <w:rFonts w:cs="Calibri"/>
          <w:u w:val="single"/>
        </w:rPr>
        <w:t xml:space="preserve">Bibliography </w:t>
      </w:r>
    </w:p>
    <w:p w:rsidR="00337C43" w:rsidRPr="008F5BF2" w:rsidRDefault="00D724B0" w:rsidP="00337C43">
      <w:pPr>
        <w:jc w:val="both"/>
        <w:rPr>
          <w:rFonts w:cs="Calibri"/>
          <w:color w:val="000000"/>
        </w:rPr>
      </w:pPr>
      <w:r>
        <w:rPr>
          <w:rFonts w:cs="Calibri"/>
          <w:color w:val="000000"/>
        </w:rPr>
        <w:t>Students</w:t>
      </w:r>
      <w:r w:rsidR="00337C43" w:rsidRPr="008F5BF2">
        <w:rPr>
          <w:rFonts w:cs="Calibri"/>
          <w:color w:val="000000"/>
        </w:rPr>
        <w:t xml:space="preserve"> must attach a Bibliography to </w:t>
      </w:r>
      <w:r>
        <w:rPr>
          <w:rFonts w:cs="Calibri"/>
          <w:color w:val="000000"/>
        </w:rPr>
        <w:t>their</w:t>
      </w:r>
      <w:r w:rsidR="00337C43" w:rsidRPr="008F5BF2">
        <w:rPr>
          <w:rFonts w:cs="Calibri"/>
          <w:color w:val="000000"/>
        </w:rPr>
        <w:t xml:space="preserve"> essay. </w:t>
      </w:r>
      <w:r>
        <w:rPr>
          <w:rFonts w:cs="Calibri"/>
          <w:color w:val="000000"/>
        </w:rPr>
        <w:t>Their</w:t>
      </w:r>
      <w:r w:rsidR="00337C43" w:rsidRPr="008F5BF2">
        <w:rPr>
          <w:rFonts w:cs="Calibri"/>
          <w:color w:val="000000"/>
        </w:rPr>
        <w:t xml:space="preserve"> bibliography must include a minimum of four academic sources (consult a librarian for clarification on what counts as an academic source (e.g. newspapers, magazines, and encyclopedias do not count). Failure to include at least four academic sources will result in a grade of “F”. The highest grades in this course typically go to students that consult a large number of high-quality source materials.  Consulting more than eight sources is highly recommended.</w:t>
      </w:r>
    </w:p>
    <w:p w:rsidR="00337C43" w:rsidRPr="008F5BF2" w:rsidRDefault="00337C43" w:rsidP="00337C43">
      <w:pPr>
        <w:jc w:val="both"/>
        <w:rPr>
          <w:rFonts w:cs="Calibri"/>
          <w:color w:val="000000"/>
        </w:rPr>
      </w:pPr>
    </w:p>
    <w:p w:rsidR="00337C43" w:rsidRPr="008F5BF2" w:rsidRDefault="00337C43" w:rsidP="00337C43">
      <w:pPr>
        <w:jc w:val="both"/>
      </w:pPr>
    </w:p>
    <w:p w:rsidR="00337C43" w:rsidRPr="00BD1EFF" w:rsidRDefault="00337C43" w:rsidP="00916E95">
      <w:pPr>
        <w:jc w:val="both"/>
      </w:pPr>
    </w:p>
    <w:p w:rsidR="00916E95" w:rsidRDefault="00916E95" w:rsidP="00916E95">
      <w:pPr>
        <w:jc w:val="both"/>
        <w:rPr>
          <w:color w:val="000000"/>
        </w:rPr>
      </w:pPr>
    </w:p>
    <w:p w:rsidR="00916E95" w:rsidRPr="005E0B03" w:rsidRDefault="00916E95" w:rsidP="00916E95">
      <w:pPr>
        <w:jc w:val="both"/>
        <w:rPr>
          <w:color w:val="000000"/>
        </w:rPr>
      </w:pPr>
    </w:p>
    <w:p w:rsidR="00916E95" w:rsidRPr="005E0B03" w:rsidRDefault="00916E95" w:rsidP="00916E95">
      <w:pPr>
        <w:jc w:val="both"/>
        <w:rPr>
          <w:b/>
          <w:bCs/>
          <w:color w:val="000000"/>
        </w:rPr>
      </w:pPr>
      <w:r w:rsidRPr="005E0B03">
        <w:rPr>
          <w:b/>
          <w:bCs/>
          <w:color w:val="000000"/>
        </w:rPr>
        <w:t>Seminar Presentation</w:t>
      </w:r>
      <w:r w:rsidRPr="005E0B03">
        <w:rPr>
          <w:b/>
          <w:bCs/>
          <w:color w:val="000000"/>
        </w:rPr>
        <w:tab/>
      </w:r>
      <w:r w:rsidRPr="005E0B03">
        <w:rPr>
          <w:b/>
          <w:bCs/>
          <w:color w:val="000000"/>
        </w:rPr>
        <w:tab/>
      </w:r>
      <w:r w:rsidRPr="005E0B03">
        <w:rPr>
          <w:b/>
          <w:bCs/>
          <w:color w:val="000000"/>
        </w:rPr>
        <w:tab/>
      </w:r>
      <w:r w:rsidRPr="005E0B03">
        <w:rPr>
          <w:b/>
          <w:bCs/>
          <w:color w:val="000000"/>
        </w:rPr>
        <w:tab/>
      </w:r>
      <w:r w:rsidRPr="005E0B03">
        <w:rPr>
          <w:b/>
          <w:bCs/>
          <w:color w:val="000000"/>
        </w:rPr>
        <w:tab/>
      </w:r>
      <w:r w:rsidRPr="005E0B03">
        <w:rPr>
          <w:b/>
          <w:bCs/>
          <w:color w:val="000000"/>
        </w:rPr>
        <w:tab/>
      </w:r>
    </w:p>
    <w:p w:rsidR="00916E95" w:rsidRPr="005E0B03" w:rsidRDefault="00916E95" w:rsidP="00916E95">
      <w:pPr>
        <w:jc w:val="both"/>
        <w:rPr>
          <w:color w:val="000000"/>
        </w:rPr>
      </w:pPr>
    </w:p>
    <w:p w:rsidR="00916E95" w:rsidRPr="005E0B03" w:rsidRDefault="00916E95" w:rsidP="00916E95">
      <w:pPr>
        <w:jc w:val="both"/>
        <w:rPr>
          <w:color w:val="000000"/>
        </w:rPr>
      </w:pPr>
      <w:r w:rsidRPr="005E0B03">
        <w:rPr>
          <w:color w:val="000000"/>
        </w:rPr>
        <w:t xml:space="preserve">Each week, a group of </w:t>
      </w:r>
      <w:r w:rsidR="00337C43">
        <w:rPr>
          <w:color w:val="000000"/>
        </w:rPr>
        <w:t>one or two</w:t>
      </w:r>
      <w:r w:rsidRPr="005E0B03">
        <w:rPr>
          <w:color w:val="000000"/>
        </w:rPr>
        <w:t xml:space="preserve"> students will present the main points and arguments </w:t>
      </w:r>
      <w:r>
        <w:rPr>
          <w:color w:val="000000"/>
        </w:rPr>
        <w:t>of the</w:t>
      </w:r>
      <w:r w:rsidRPr="005E0B03">
        <w:rPr>
          <w:color w:val="000000"/>
        </w:rPr>
        <w:t xml:space="preserve"> </w:t>
      </w:r>
      <w:r w:rsidR="00337C43">
        <w:rPr>
          <w:color w:val="000000"/>
        </w:rPr>
        <w:t>readings assigned for that week</w:t>
      </w:r>
      <w:r w:rsidRPr="005E0B03">
        <w:rPr>
          <w:color w:val="000000"/>
        </w:rPr>
        <w:t xml:space="preserve">, </w:t>
      </w:r>
      <w:r>
        <w:rPr>
          <w:color w:val="000000"/>
        </w:rPr>
        <w:t xml:space="preserve">also drawing on themes covered earlier in the term, </w:t>
      </w:r>
      <w:r w:rsidRPr="005E0B03">
        <w:rPr>
          <w:color w:val="000000"/>
        </w:rPr>
        <w:t>to the class.  Each presentation should be approximately 20 minutes in length</w:t>
      </w:r>
      <w:r w:rsidR="00337C43">
        <w:rPr>
          <w:color w:val="000000"/>
        </w:rPr>
        <w:t>.  Students must provide</w:t>
      </w:r>
      <w:r w:rsidRPr="005E0B03">
        <w:rPr>
          <w:color w:val="000000"/>
        </w:rPr>
        <w:t xml:space="preserve"> a </w:t>
      </w:r>
      <w:r w:rsidR="00337C43">
        <w:rPr>
          <w:color w:val="000000"/>
        </w:rPr>
        <w:t xml:space="preserve">one-page (one-sided) </w:t>
      </w:r>
      <w:r w:rsidRPr="005E0B03">
        <w:rPr>
          <w:color w:val="000000"/>
        </w:rPr>
        <w:t xml:space="preserve">hand-out for students in the class </w:t>
      </w:r>
      <w:r>
        <w:rPr>
          <w:color w:val="000000"/>
        </w:rPr>
        <w:t xml:space="preserve">that </w:t>
      </w:r>
      <w:r w:rsidR="00337C43">
        <w:rPr>
          <w:color w:val="000000"/>
        </w:rPr>
        <w:t>highlights the main points from the readings,</w:t>
      </w:r>
      <w:r>
        <w:rPr>
          <w:color w:val="000000"/>
        </w:rPr>
        <w:t xml:space="preserve"> as well as</w:t>
      </w:r>
      <w:r w:rsidRPr="005E0B03">
        <w:rPr>
          <w:color w:val="000000"/>
        </w:rPr>
        <w:t xml:space="preserve"> </w:t>
      </w:r>
      <w:r w:rsidR="00337C43">
        <w:rPr>
          <w:color w:val="000000"/>
        </w:rPr>
        <w:t xml:space="preserve">three </w:t>
      </w:r>
      <w:r w:rsidRPr="005E0B03">
        <w:rPr>
          <w:color w:val="000000"/>
        </w:rPr>
        <w:t>questions for discussion.  As the presentation is expected to be a joint project between the students involved, all students in the group will be graded together.  Student presenters are expected to refer to material beyond that assigned to the class.</w:t>
      </w:r>
    </w:p>
    <w:p w:rsidR="00916E95" w:rsidRPr="005E0B03" w:rsidRDefault="00916E95" w:rsidP="00916E95">
      <w:pPr>
        <w:jc w:val="both"/>
        <w:rPr>
          <w:color w:val="000000"/>
          <w:u w:val="single"/>
        </w:rPr>
      </w:pPr>
    </w:p>
    <w:p w:rsidR="00916E95" w:rsidRPr="005E0B03" w:rsidRDefault="00916E95" w:rsidP="00916E95">
      <w:pPr>
        <w:jc w:val="both"/>
        <w:rPr>
          <w:color w:val="000000"/>
          <w:u w:val="single"/>
        </w:rPr>
      </w:pPr>
    </w:p>
    <w:p w:rsidR="00916E95" w:rsidRPr="005E0B03" w:rsidRDefault="00916E95" w:rsidP="00916E95">
      <w:pPr>
        <w:jc w:val="both"/>
        <w:rPr>
          <w:b/>
          <w:bCs/>
          <w:color w:val="000000"/>
        </w:rPr>
      </w:pPr>
      <w:r w:rsidRPr="005E0B03">
        <w:rPr>
          <w:b/>
          <w:bCs/>
          <w:color w:val="000000"/>
        </w:rPr>
        <w:t>Seminar Participation</w:t>
      </w:r>
      <w:r w:rsidRPr="005E0B03">
        <w:rPr>
          <w:b/>
          <w:bCs/>
          <w:color w:val="000000"/>
        </w:rPr>
        <w:tab/>
      </w:r>
      <w:r w:rsidRPr="005E0B03">
        <w:rPr>
          <w:b/>
          <w:bCs/>
          <w:color w:val="000000"/>
        </w:rPr>
        <w:tab/>
      </w:r>
      <w:r w:rsidRPr="005E0B03">
        <w:rPr>
          <w:b/>
          <w:bCs/>
          <w:color w:val="000000"/>
        </w:rPr>
        <w:tab/>
      </w:r>
      <w:r w:rsidRPr="005E0B03">
        <w:rPr>
          <w:b/>
          <w:bCs/>
          <w:color w:val="000000"/>
        </w:rPr>
        <w:tab/>
      </w:r>
      <w:r w:rsidRPr="005E0B03">
        <w:rPr>
          <w:b/>
          <w:bCs/>
          <w:color w:val="000000"/>
        </w:rPr>
        <w:tab/>
      </w:r>
      <w:r w:rsidRPr="005E0B03">
        <w:rPr>
          <w:b/>
          <w:bCs/>
          <w:color w:val="000000"/>
        </w:rPr>
        <w:tab/>
      </w:r>
    </w:p>
    <w:p w:rsidR="00916E95" w:rsidRPr="005E0B03" w:rsidRDefault="00916E95" w:rsidP="00916E95">
      <w:pPr>
        <w:jc w:val="both"/>
        <w:rPr>
          <w:color w:val="000000"/>
        </w:rPr>
      </w:pPr>
    </w:p>
    <w:p w:rsidR="00916E95" w:rsidRPr="005E0B03" w:rsidRDefault="00916E95" w:rsidP="00916E95">
      <w:pPr>
        <w:jc w:val="both"/>
        <w:rPr>
          <w:color w:val="000000"/>
        </w:rPr>
      </w:pPr>
      <w:r w:rsidRPr="005E0B03">
        <w:rPr>
          <w:color w:val="000000"/>
        </w:rPr>
        <w:t>This assessment will be based on regular contributions to the class discussion, reflecting some grasp of the relevant materials and some analytical abilities in applying those materials in the discussion.  Students should consult the handout “Student Participation” for criteria.</w:t>
      </w:r>
    </w:p>
    <w:p w:rsidR="00916E95" w:rsidRDefault="00916E95" w:rsidP="00916E95">
      <w:pPr>
        <w:jc w:val="both"/>
        <w:rPr>
          <w:b/>
          <w:color w:val="000000"/>
        </w:rPr>
      </w:pPr>
    </w:p>
    <w:p w:rsidR="00916E95" w:rsidRDefault="00916E95" w:rsidP="00916E95">
      <w:pPr>
        <w:jc w:val="both"/>
        <w:rPr>
          <w:b/>
          <w:color w:val="000000"/>
        </w:rPr>
      </w:pPr>
    </w:p>
    <w:p w:rsidR="00502026" w:rsidRPr="008F5BF2" w:rsidRDefault="00502026" w:rsidP="00502026">
      <w:pPr>
        <w:autoSpaceDE w:val="0"/>
        <w:autoSpaceDN w:val="0"/>
        <w:adjustRightInd w:val="0"/>
        <w:rPr>
          <w:rFonts w:cs="Calibri"/>
          <w:b/>
          <w:bCs/>
          <w:iCs/>
        </w:rPr>
      </w:pPr>
      <w:r w:rsidRPr="008F5BF2">
        <w:rPr>
          <w:rFonts w:cs="Calibri"/>
          <w:b/>
          <w:bCs/>
          <w:iCs/>
        </w:rPr>
        <w:t xml:space="preserve">Etiquette </w:t>
      </w:r>
    </w:p>
    <w:p w:rsidR="00502026" w:rsidRPr="008F5BF2" w:rsidRDefault="00502026" w:rsidP="00502026">
      <w:pPr>
        <w:autoSpaceDE w:val="0"/>
        <w:autoSpaceDN w:val="0"/>
        <w:adjustRightInd w:val="0"/>
        <w:rPr>
          <w:rFonts w:cs="Calibri"/>
        </w:rPr>
      </w:pPr>
    </w:p>
    <w:p w:rsidR="00502026" w:rsidRPr="008F5BF2" w:rsidRDefault="00502026" w:rsidP="00502026">
      <w:pPr>
        <w:autoSpaceDE w:val="0"/>
        <w:autoSpaceDN w:val="0"/>
        <w:adjustRightInd w:val="0"/>
        <w:rPr>
          <w:rFonts w:cs="Calibri"/>
        </w:rPr>
      </w:pPr>
      <w:r w:rsidRPr="008F5BF2">
        <w:rPr>
          <w:rFonts w:cs="Calibri"/>
        </w:rPr>
        <w:t xml:space="preserve">Discussion and debate is an important component of this course. However, at times, we will be dealing with sensitive and controversial topics. Therefore, our interactions in each forum must be guided by an ethic of respect.  Uncivil, disrespectful, abusive or other inappropriate behaviour will not be tolerated.  This includes the respectful use of </w:t>
      </w:r>
      <w:r>
        <w:rPr>
          <w:rFonts w:cs="Calibri"/>
        </w:rPr>
        <w:t>electronics</w:t>
      </w:r>
      <w:r w:rsidRPr="008F5BF2">
        <w:rPr>
          <w:rFonts w:cs="Calibri"/>
        </w:rPr>
        <w:t>, as detailed below.</w:t>
      </w:r>
    </w:p>
    <w:p w:rsidR="00502026" w:rsidRPr="008F5BF2" w:rsidRDefault="00502026" w:rsidP="00502026">
      <w:pPr>
        <w:jc w:val="both"/>
      </w:pPr>
    </w:p>
    <w:p w:rsidR="00502026" w:rsidRPr="008F5BF2" w:rsidRDefault="00502026" w:rsidP="00502026">
      <w:pPr>
        <w:rPr>
          <w:rFonts w:cs="Calibri"/>
          <w:b/>
          <w:bCs/>
          <w:iCs/>
        </w:rPr>
      </w:pPr>
    </w:p>
    <w:p w:rsidR="00502026" w:rsidRPr="008F5BF2" w:rsidRDefault="00502026" w:rsidP="00502026">
      <w:pPr>
        <w:rPr>
          <w:rFonts w:cs="Calibri"/>
          <w:b/>
          <w:bCs/>
          <w:iCs/>
          <w:color w:val="00B050"/>
        </w:rPr>
      </w:pPr>
      <w:r w:rsidRPr="008F5BF2">
        <w:rPr>
          <w:rFonts w:cs="Calibri"/>
          <w:b/>
          <w:bCs/>
          <w:iCs/>
        </w:rPr>
        <w:t xml:space="preserve">Electronics </w:t>
      </w:r>
    </w:p>
    <w:p w:rsidR="00502026" w:rsidRPr="008F5BF2" w:rsidRDefault="00502026" w:rsidP="00502026">
      <w:pPr>
        <w:autoSpaceDE w:val="0"/>
        <w:autoSpaceDN w:val="0"/>
        <w:adjustRightInd w:val="0"/>
        <w:rPr>
          <w:rFonts w:cs="Calibri"/>
        </w:rPr>
      </w:pPr>
    </w:p>
    <w:p w:rsidR="00502026" w:rsidRPr="008F5BF2" w:rsidRDefault="00502026" w:rsidP="00502026">
      <w:pPr>
        <w:autoSpaceDE w:val="0"/>
        <w:autoSpaceDN w:val="0"/>
        <w:adjustRightInd w:val="0"/>
        <w:jc w:val="both"/>
        <w:rPr>
          <w:rFonts w:cs="Calibri"/>
        </w:rPr>
      </w:pPr>
      <w:r w:rsidRPr="008F5BF2">
        <w:rPr>
          <w:rFonts w:cs="Calibri"/>
        </w:rPr>
        <w:t xml:space="preserve">Electronics are increasingly an important component of the learning process.   </w:t>
      </w:r>
    </w:p>
    <w:p w:rsidR="00502026" w:rsidRPr="008F5BF2" w:rsidRDefault="00502026" w:rsidP="00502026">
      <w:pPr>
        <w:autoSpaceDE w:val="0"/>
        <w:autoSpaceDN w:val="0"/>
        <w:adjustRightInd w:val="0"/>
        <w:jc w:val="both"/>
        <w:rPr>
          <w:rFonts w:cs="Calibri"/>
        </w:rPr>
      </w:pPr>
      <w:r w:rsidRPr="008F5BF2">
        <w:rPr>
          <w:rFonts w:cs="Calibri"/>
        </w:rPr>
        <w:t xml:space="preserve">• </w:t>
      </w:r>
      <w:r w:rsidRPr="008F5BF2">
        <w:rPr>
          <w:rFonts w:cs="Calibri"/>
          <w:u w:val="single"/>
        </w:rPr>
        <w:t>C</w:t>
      </w:r>
      <w:r w:rsidRPr="008F5BF2">
        <w:rPr>
          <w:rFonts w:cs="Calibri"/>
          <w:bCs/>
          <w:u w:val="single"/>
        </w:rPr>
        <w:t>omputer</w:t>
      </w:r>
      <w:r>
        <w:rPr>
          <w:rFonts w:cs="Calibri"/>
          <w:bCs/>
          <w:u w:val="single"/>
        </w:rPr>
        <w:t>s</w:t>
      </w:r>
      <w:r w:rsidRPr="008F5BF2">
        <w:rPr>
          <w:rFonts w:cs="Calibri"/>
          <w:bCs/>
          <w:u w:val="single"/>
        </w:rPr>
        <w:t>/laptop</w:t>
      </w:r>
      <w:r>
        <w:rPr>
          <w:rFonts w:cs="Calibri"/>
          <w:bCs/>
          <w:u w:val="single"/>
        </w:rPr>
        <w:t>s</w:t>
      </w:r>
      <w:r w:rsidRPr="008F5BF2">
        <w:rPr>
          <w:rFonts w:cs="Calibri"/>
          <w:bCs/>
          <w:u w:val="single"/>
        </w:rPr>
        <w:t>/netbook</w:t>
      </w:r>
      <w:r>
        <w:rPr>
          <w:rFonts w:cs="Calibri"/>
          <w:bCs/>
          <w:u w:val="single"/>
        </w:rPr>
        <w:t>s</w:t>
      </w:r>
      <w:r w:rsidRPr="008F5BF2">
        <w:rPr>
          <w:rFonts w:cs="Calibri"/>
          <w:bCs/>
          <w:u w:val="single"/>
        </w:rPr>
        <w:t xml:space="preserve"> (and similar technologies) </w:t>
      </w:r>
      <w:r>
        <w:rPr>
          <w:rFonts w:cs="Calibri"/>
          <w:u w:val="single"/>
        </w:rPr>
        <w:t>will not be permitted—except for reading electronic materials</w:t>
      </w:r>
      <w:r>
        <w:rPr>
          <w:rFonts w:cs="Calibri"/>
        </w:rPr>
        <w:t xml:space="preserve">.  Their use has been demonstrated to </w:t>
      </w:r>
      <w:r w:rsidRPr="008F5BF2">
        <w:rPr>
          <w:rFonts w:cs="Calibri"/>
        </w:rPr>
        <w:t xml:space="preserve">disrupt the learning experience of other students. </w:t>
      </w:r>
    </w:p>
    <w:p w:rsidR="00502026" w:rsidRPr="008F5BF2" w:rsidRDefault="00502026" w:rsidP="00502026">
      <w:pPr>
        <w:autoSpaceDE w:val="0"/>
        <w:autoSpaceDN w:val="0"/>
        <w:adjustRightInd w:val="0"/>
        <w:jc w:val="both"/>
        <w:rPr>
          <w:rFonts w:cs="Calibri"/>
        </w:rPr>
      </w:pPr>
      <w:r w:rsidRPr="008F5BF2">
        <w:rPr>
          <w:rFonts w:cs="Calibri"/>
        </w:rPr>
        <w:t xml:space="preserve">• All cellphones (and similar technologies) must be turned off, </w:t>
      </w:r>
      <w:r>
        <w:rPr>
          <w:rFonts w:cs="Calibri"/>
        </w:rPr>
        <w:t xml:space="preserve">or set to </w:t>
      </w:r>
      <w:r w:rsidRPr="008F5BF2">
        <w:rPr>
          <w:rFonts w:cs="Calibri"/>
        </w:rPr>
        <w:t>silent ‘vibration’ mode during the duration of the class and during tutorials. The instructor reserve</w:t>
      </w:r>
      <w:r>
        <w:rPr>
          <w:rFonts w:cs="Calibri"/>
        </w:rPr>
        <w:t>s</w:t>
      </w:r>
      <w:r w:rsidRPr="008F5BF2">
        <w:rPr>
          <w:rFonts w:cs="Calibri"/>
        </w:rPr>
        <w:t xml:space="preserve"> the right to ensure that </w:t>
      </w:r>
      <w:r w:rsidR="00D724B0">
        <w:rPr>
          <w:rFonts w:cs="Calibri"/>
        </w:rPr>
        <w:t>students</w:t>
      </w:r>
      <w:r w:rsidRPr="008F5BF2">
        <w:rPr>
          <w:rFonts w:cs="Calibri"/>
        </w:rPr>
        <w:t xml:space="preserve"> are not text-messaging, surfing the internet, or distracting any students; spot-checks will be conducted during class time.  </w:t>
      </w:r>
    </w:p>
    <w:p w:rsidR="00502026" w:rsidRPr="008F5BF2" w:rsidRDefault="00502026" w:rsidP="00502026">
      <w:pPr>
        <w:autoSpaceDE w:val="0"/>
        <w:autoSpaceDN w:val="0"/>
        <w:adjustRightInd w:val="0"/>
        <w:jc w:val="both"/>
        <w:rPr>
          <w:rFonts w:cs="Calibri"/>
        </w:rPr>
      </w:pPr>
      <w:r w:rsidRPr="008F5BF2">
        <w:rPr>
          <w:rFonts w:cs="Calibri"/>
        </w:rPr>
        <w:t>• No digital taping (either voice or image) is allowed.</w:t>
      </w:r>
    </w:p>
    <w:p w:rsidR="00502026" w:rsidRPr="008F5BF2" w:rsidRDefault="00502026" w:rsidP="00502026">
      <w:pPr>
        <w:autoSpaceDE w:val="0"/>
        <w:autoSpaceDN w:val="0"/>
        <w:adjustRightInd w:val="0"/>
        <w:jc w:val="both"/>
        <w:rPr>
          <w:rFonts w:cs="Calibri"/>
        </w:rPr>
      </w:pPr>
      <w:r w:rsidRPr="008F5BF2">
        <w:rPr>
          <w:rFonts w:cs="Calibri"/>
        </w:rPr>
        <w:t xml:space="preserve">• Disruptive behavior will be dealt with on a case-by-case basis and may result in the suspension of laptop privileges. </w:t>
      </w:r>
    </w:p>
    <w:p w:rsidR="00502026" w:rsidRPr="008F5BF2" w:rsidRDefault="00502026" w:rsidP="00502026">
      <w:pPr>
        <w:jc w:val="both"/>
        <w:rPr>
          <w:color w:val="00B050"/>
        </w:rPr>
      </w:pPr>
    </w:p>
    <w:p w:rsidR="00502026" w:rsidRDefault="00502026" w:rsidP="00502026">
      <w:pPr>
        <w:rPr>
          <w:rStyle w:val="Emphasis"/>
          <w:b/>
          <w:i w:val="0"/>
          <w:lang w:val="en-CA" w:eastAsia="en-CA"/>
        </w:rPr>
      </w:pPr>
      <w:r>
        <w:rPr>
          <w:rStyle w:val="Emphasis"/>
          <w:b/>
          <w:i w:val="0"/>
        </w:rPr>
        <w:br w:type="page"/>
      </w:r>
    </w:p>
    <w:p w:rsidR="00502026" w:rsidRPr="00502026" w:rsidRDefault="00502026" w:rsidP="00502026">
      <w:pPr>
        <w:pStyle w:val="NormalWeb"/>
        <w:rPr>
          <w:b/>
          <w:i/>
        </w:rPr>
      </w:pPr>
      <w:r w:rsidRPr="00502026">
        <w:rPr>
          <w:rStyle w:val="Emphasis"/>
          <w:b/>
          <w:i w:val="0"/>
        </w:rPr>
        <w:t>Course Content Note</w:t>
      </w:r>
    </w:p>
    <w:p w:rsidR="00502026" w:rsidRPr="00502026" w:rsidRDefault="00502026" w:rsidP="00502026">
      <w:pPr>
        <w:pStyle w:val="NormalWeb"/>
        <w:jc w:val="both"/>
        <w:rPr>
          <w:i/>
        </w:rPr>
      </w:pPr>
      <w:r w:rsidRPr="00502026">
        <w:rPr>
          <w:rStyle w:val="Emphasis"/>
          <w:i w:val="0"/>
        </w:rPr>
        <w:t>The field of transitional justice and post-conflict reconstruction deals with disturbing events like war crimes, crimes against humanity, and genocide, and sometimes we will be discussing historical events that some students may find troubling. If </w:t>
      </w:r>
      <w:r w:rsidR="00D724B0">
        <w:rPr>
          <w:rStyle w:val="Emphasis"/>
          <w:i w:val="0"/>
        </w:rPr>
        <w:t>students</w:t>
      </w:r>
      <w:r w:rsidRPr="00502026">
        <w:rPr>
          <w:rStyle w:val="Emphasis"/>
          <w:i w:val="0"/>
        </w:rPr>
        <w:t xml:space="preserve"> think specific material could be emotionally challenging for </w:t>
      </w:r>
      <w:r w:rsidR="00D724B0">
        <w:rPr>
          <w:rStyle w:val="Emphasis"/>
          <w:i w:val="0"/>
        </w:rPr>
        <w:t>students</w:t>
      </w:r>
      <w:r w:rsidRPr="00502026">
        <w:rPr>
          <w:rStyle w:val="Emphasis"/>
          <w:i w:val="0"/>
        </w:rPr>
        <w:t xml:space="preserve">, I would be happy to discuss any concerns </w:t>
      </w:r>
      <w:r w:rsidR="00D724B0">
        <w:rPr>
          <w:rStyle w:val="Emphasis"/>
          <w:i w:val="0"/>
        </w:rPr>
        <w:t>students</w:t>
      </w:r>
      <w:r w:rsidRPr="00502026">
        <w:rPr>
          <w:rStyle w:val="Emphasis"/>
          <w:i w:val="0"/>
        </w:rPr>
        <w:t xml:space="preserve"> may have before the subject comes up in class.  And if </w:t>
      </w:r>
      <w:r w:rsidR="00D724B0">
        <w:rPr>
          <w:rStyle w:val="Emphasis"/>
          <w:i w:val="0"/>
        </w:rPr>
        <w:t>students</w:t>
      </w:r>
      <w:r w:rsidRPr="00502026">
        <w:rPr>
          <w:rStyle w:val="Emphasis"/>
          <w:i w:val="0"/>
        </w:rPr>
        <w:t xml:space="preserve"> ever wish to discuss </w:t>
      </w:r>
      <w:r w:rsidR="00D724B0">
        <w:rPr>
          <w:rStyle w:val="Emphasis"/>
          <w:i w:val="0"/>
        </w:rPr>
        <w:t>their</w:t>
      </w:r>
      <w:r w:rsidRPr="00502026">
        <w:rPr>
          <w:rStyle w:val="Emphasis"/>
          <w:i w:val="0"/>
        </w:rPr>
        <w:t xml:space="preserve"> personal reactions to course material with the class or with me individually afterwards, I welcome these discussions as an appropriate part of our scholarly work.</w:t>
      </w:r>
    </w:p>
    <w:p w:rsidR="00502026" w:rsidRPr="00502026" w:rsidRDefault="00502026" w:rsidP="00502026">
      <w:pPr>
        <w:pStyle w:val="NormalWeb"/>
        <w:jc w:val="both"/>
        <w:rPr>
          <w:i/>
        </w:rPr>
      </w:pPr>
      <w:r w:rsidRPr="00502026">
        <w:rPr>
          <w:rStyle w:val="Emphasis"/>
          <w:i w:val="0"/>
        </w:rPr>
        <w:t xml:space="preserve">If </w:t>
      </w:r>
      <w:r w:rsidR="00D724B0">
        <w:rPr>
          <w:rStyle w:val="Emphasis"/>
          <w:i w:val="0"/>
        </w:rPr>
        <w:t>students</w:t>
      </w:r>
      <w:r w:rsidRPr="00502026">
        <w:rPr>
          <w:rStyle w:val="Emphasis"/>
          <w:i w:val="0"/>
        </w:rPr>
        <w:t xml:space="preserve"> ever feel the need to step out of the classroom during a class discussion, </w:t>
      </w:r>
      <w:r w:rsidR="00D724B0">
        <w:rPr>
          <w:rStyle w:val="Emphasis"/>
          <w:i w:val="0"/>
        </w:rPr>
        <w:t>students</w:t>
      </w:r>
      <w:r w:rsidRPr="00502026">
        <w:rPr>
          <w:rStyle w:val="Emphasis"/>
          <w:i w:val="0"/>
        </w:rPr>
        <w:t xml:space="preserve"> may always do so without academic penalty.  </w:t>
      </w:r>
      <w:r w:rsidR="00D724B0">
        <w:rPr>
          <w:rStyle w:val="Emphasis"/>
          <w:i w:val="0"/>
        </w:rPr>
        <w:t>Students</w:t>
      </w:r>
      <w:r w:rsidRPr="00502026">
        <w:rPr>
          <w:rStyle w:val="Emphasis"/>
          <w:i w:val="0"/>
        </w:rPr>
        <w:t xml:space="preserve"> will, however, be responsible for any material </w:t>
      </w:r>
      <w:r w:rsidR="00D724B0">
        <w:rPr>
          <w:rStyle w:val="Emphasis"/>
          <w:i w:val="0"/>
        </w:rPr>
        <w:t>students</w:t>
      </w:r>
      <w:r w:rsidRPr="00502026">
        <w:rPr>
          <w:rStyle w:val="Emphasis"/>
          <w:i w:val="0"/>
        </w:rPr>
        <w:t xml:space="preserve"> miss.  If </w:t>
      </w:r>
      <w:r w:rsidR="00D724B0">
        <w:rPr>
          <w:rStyle w:val="Emphasis"/>
          <w:i w:val="0"/>
        </w:rPr>
        <w:t>students</w:t>
      </w:r>
      <w:r w:rsidRPr="00502026">
        <w:rPr>
          <w:rStyle w:val="Emphasis"/>
          <w:i w:val="0"/>
        </w:rPr>
        <w:t xml:space="preserve"> do leave the room for a significant time, please make arrangements to get notes from another student or see me individually to discuss the situation.</w:t>
      </w:r>
    </w:p>
    <w:p w:rsidR="00502026" w:rsidRDefault="00502026" w:rsidP="00916E95">
      <w:pPr>
        <w:jc w:val="both"/>
        <w:rPr>
          <w:b/>
          <w:color w:val="000000"/>
        </w:rPr>
      </w:pPr>
    </w:p>
    <w:p w:rsidR="00916E95" w:rsidRPr="005E0B03" w:rsidRDefault="00916E95" w:rsidP="00916E95">
      <w:pPr>
        <w:jc w:val="both"/>
        <w:rPr>
          <w:bCs/>
          <w:color w:val="000000"/>
        </w:rPr>
      </w:pPr>
      <w:r w:rsidRPr="005E0B03">
        <w:rPr>
          <w:b/>
          <w:color w:val="000000"/>
        </w:rPr>
        <w:t>Academic Dishonesty</w:t>
      </w:r>
    </w:p>
    <w:p w:rsidR="00916E95" w:rsidRPr="005E0B03" w:rsidRDefault="00916E95" w:rsidP="00916E95">
      <w:pPr>
        <w:jc w:val="both"/>
        <w:rPr>
          <w:bCs/>
          <w:color w:val="000000"/>
        </w:rPr>
      </w:pPr>
    </w:p>
    <w:p w:rsidR="00916E95" w:rsidRPr="005E0B03" w:rsidRDefault="00916E95" w:rsidP="00916E95">
      <w:pPr>
        <w:jc w:val="both"/>
        <w:rPr>
          <w:bCs/>
          <w:color w:val="000000"/>
          <w:u w:val="single"/>
        </w:rPr>
      </w:pPr>
      <w:r w:rsidRPr="005E0B03">
        <w:rPr>
          <w:bCs/>
          <w:color w:val="000000"/>
        </w:rPr>
        <w:t xml:space="preserve">Many different types of actions may be considered academically dishonest.  These might include, although not exhaustively, the following:  cheating, submission of work not authored by </w:t>
      </w:r>
      <w:r w:rsidR="00D724B0">
        <w:rPr>
          <w:bCs/>
          <w:color w:val="000000"/>
        </w:rPr>
        <w:t>students</w:t>
      </w:r>
      <w:r w:rsidRPr="005E0B03">
        <w:rPr>
          <w:bCs/>
          <w:color w:val="000000"/>
        </w:rPr>
        <w:t xml:space="preserve">, double submission, fabrication, plagiarism.  </w:t>
      </w:r>
      <w:r w:rsidR="00D724B0">
        <w:rPr>
          <w:bCs/>
          <w:color w:val="000000"/>
        </w:rPr>
        <w:t>Students</w:t>
      </w:r>
      <w:r w:rsidRPr="005E0B03">
        <w:rPr>
          <w:bCs/>
          <w:color w:val="000000"/>
        </w:rPr>
        <w:t xml:space="preserve"> are advised to familiarize </w:t>
      </w:r>
      <w:r w:rsidR="00D724B0">
        <w:rPr>
          <w:bCs/>
          <w:color w:val="000000"/>
        </w:rPr>
        <w:t>themselves</w:t>
      </w:r>
      <w:r w:rsidRPr="005E0B03">
        <w:rPr>
          <w:bCs/>
          <w:color w:val="000000"/>
        </w:rPr>
        <w:t xml:space="preserve"> with the guidelines set out in the Handbook of Academic and Scholarship Policy.  These may be found at the following url:  </w:t>
      </w:r>
      <w:r w:rsidRPr="00EC26BF">
        <w:rPr>
          <w:bCs/>
          <w:i/>
          <w:iCs/>
          <w:color w:val="000000"/>
        </w:rPr>
        <w:t>http://www.westerncalendar.uwo.ca/2014/pg113.html</w:t>
      </w:r>
    </w:p>
    <w:p w:rsidR="00916E95" w:rsidRPr="005E0B03" w:rsidRDefault="00916E95" w:rsidP="00916E95">
      <w:pPr>
        <w:pStyle w:val="Header"/>
        <w:tabs>
          <w:tab w:val="clear" w:pos="4320"/>
          <w:tab w:val="clear" w:pos="8640"/>
        </w:tabs>
        <w:jc w:val="both"/>
        <w:rPr>
          <w:bCs/>
          <w:color w:val="000000"/>
        </w:rPr>
      </w:pPr>
    </w:p>
    <w:p w:rsidR="00916E95" w:rsidRPr="005E0B03" w:rsidRDefault="00916E95" w:rsidP="00916E95">
      <w:pPr>
        <w:jc w:val="both"/>
        <w:rPr>
          <w:bCs/>
          <w:color w:val="000000"/>
        </w:rPr>
      </w:pPr>
    </w:p>
    <w:p w:rsidR="00916E95" w:rsidRPr="005E0B03" w:rsidRDefault="00916E95" w:rsidP="00916E95">
      <w:pPr>
        <w:jc w:val="both"/>
        <w:rPr>
          <w:bCs/>
          <w:color w:val="000000"/>
        </w:rPr>
      </w:pPr>
      <w:r w:rsidRPr="005E0B03">
        <w:rPr>
          <w:b/>
          <w:color w:val="000000"/>
        </w:rPr>
        <w:t>Students with Disabilities</w:t>
      </w:r>
    </w:p>
    <w:p w:rsidR="00916E95" w:rsidRPr="005E0B03" w:rsidRDefault="00916E95" w:rsidP="00916E95">
      <w:pPr>
        <w:pStyle w:val="Header"/>
        <w:tabs>
          <w:tab w:val="clear" w:pos="4320"/>
          <w:tab w:val="clear" w:pos="8640"/>
        </w:tabs>
        <w:jc w:val="both"/>
        <w:rPr>
          <w:bCs/>
          <w:color w:val="000000"/>
        </w:rPr>
      </w:pPr>
    </w:p>
    <w:p w:rsidR="00916E95" w:rsidRPr="005E0B03" w:rsidRDefault="00916E95" w:rsidP="00916E95">
      <w:pPr>
        <w:jc w:val="both"/>
        <w:rPr>
          <w:bCs/>
          <w:color w:val="000000"/>
        </w:rPr>
      </w:pPr>
      <w:r w:rsidRPr="005E0B03">
        <w:rPr>
          <w:bCs/>
          <w:color w:val="000000"/>
        </w:rPr>
        <w:t xml:space="preserve">Any student with a disability is advised to contact the Coordinator for Services for Students with Disabilities in order that arrangements can be made through them to accommodate that student.  The Centre for Student Development is located in UCC Suite 210;  they can be reached by telephone at (519)661-2147, by email at </w:t>
      </w:r>
      <w:r w:rsidRPr="005E0B03">
        <w:rPr>
          <w:bCs/>
          <w:i/>
          <w:iCs/>
          <w:color w:val="000000"/>
        </w:rPr>
        <w:t>ssc@sdc.uwo.ca</w:t>
      </w:r>
      <w:r w:rsidRPr="005E0B03">
        <w:rPr>
          <w:bCs/>
          <w:color w:val="000000"/>
        </w:rPr>
        <w:t xml:space="preserve">, or on the web at </w:t>
      </w:r>
      <w:r w:rsidRPr="005E0B03">
        <w:rPr>
          <w:bCs/>
          <w:i/>
          <w:iCs/>
          <w:color w:val="000000"/>
        </w:rPr>
        <w:t>http://www.sdc.uwo.ca/ssd/</w:t>
      </w:r>
    </w:p>
    <w:p w:rsidR="00916E95" w:rsidRPr="005E0B03" w:rsidRDefault="00916E95" w:rsidP="00916E95">
      <w:pPr>
        <w:jc w:val="both"/>
        <w:rPr>
          <w:bCs/>
          <w:color w:val="000000"/>
        </w:rPr>
      </w:pPr>
    </w:p>
    <w:p w:rsidR="00916E95" w:rsidRPr="005E0B03" w:rsidRDefault="00916E95" w:rsidP="00916E95">
      <w:pPr>
        <w:jc w:val="both"/>
        <w:rPr>
          <w:bCs/>
          <w:color w:val="000000"/>
        </w:rPr>
      </w:pPr>
    </w:p>
    <w:p w:rsidR="00916E95" w:rsidRPr="005E0B03" w:rsidRDefault="00916E95" w:rsidP="00916E95">
      <w:pPr>
        <w:jc w:val="both"/>
        <w:rPr>
          <w:bCs/>
          <w:color w:val="000000"/>
        </w:rPr>
      </w:pPr>
      <w:r w:rsidRPr="005E0B03">
        <w:rPr>
          <w:b/>
          <w:color w:val="000000"/>
        </w:rPr>
        <w:t>Other Resources</w:t>
      </w:r>
    </w:p>
    <w:p w:rsidR="00916E95" w:rsidRPr="005E0B03" w:rsidRDefault="00916E95" w:rsidP="00916E95">
      <w:pPr>
        <w:jc w:val="both"/>
        <w:rPr>
          <w:bCs/>
          <w:color w:val="000000"/>
        </w:rPr>
      </w:pPr>
    </w:p>
    <w:p w:rsidR="00916E95" w:rsidRPr="005E0B03" w:rsidRDefault="00916E95" w:rsidP="00916E95">
      <w:pPr>
        <w:jc w:val="both"/>
        <w:rPr>
          <w:bCs/>
          <w:color w:val="000000"/>
        </w:rPr>
      </w:pPr>
      <w:r w:rsidRPr="005E0B03">
        <w:rPr>
          <w:bCs/>
          <w:color w:val="000000"/>
        </w:rPr>
        <w:t xml:space="preserve">There are many resources at UWO designed to assist </w:t>
      </w:r>
      <w:r w:rsidR="00D724B0">
        <w:rPr>
          <w:bCs/>
          <w:color w:val="000000"/>
        </w:rPr>
        <w:t>students</w:t>
      </w:r>
      <w:r w:rsidRPr="005E0B03">
        <w:rPr>
          <w:bCs/>
          <w:color w:val="000000"/>
        </w:rPr>
        <w:t xml:space="preserve"> in </w:t>
      </w:r>
      <w:r w:rsidR="00D724B0">
        <w:rPr>
          <w:bCs/>
          <w:color w:val="000000"/>
        </w:rPr>
        <w:t>their</w:t>
      </w:r>
      <w:r w:rsidRPr="005E0B03">
        <w:rPr>
          <w:bCs/>
          <w:color w:val="000000"/>
        </w:rPr>
        <w:t xml:space="preserve"> learning.  </w:t>
      </w:r>
      <w:r w:rsidR="00D724B0">
        <w:rPr>
          <w:bCs/>
          <w:color w:val="000000"/>
        </w:rPr>
        <w:t>Students</w:t>
      </w:r>
      <w:r w:rsidRPr="005E0B03">
        <w:rPr>
          <w:bCs/>
          <w:color w:val="000000"/>
        </w:rPr>
        <w:t xml:space="preserve"> are strongly advised to utilize these services.  The Student Development Centre offers many services, including Effective Writing Programs and Learning Skills Services.  The Student Development Centre is located in UCC Suite 210; they can be reached by telephone at (519)661-2147, by email at </w:t>
      </w:r>
      <w:r w:rsidRPr="005E0B03">
        <w:rPr>
          <w:bCs/>
          <w:i/>
          <w:iCs/>
          <w:color w:val="000000"/>
        </w:rPr>
        <w:t>exams@sdc.uwo.ca</w:t>
      </w:r>
      <w:r w:rsidRPr="005E0B03">
        <w:rPr>
          <w:bCs/>
          <w:color w:val="000000"/>
        </w:rPr>
        <w:t xml:space="preserve">, or on the web at </w:t>
      </w:r>
      <w:r w:rsidRPr="00EC26BF">
        <w:rPr>
          <w:bCs/>
          <w:i/>
          <w:iCs/>
          <w:color w:val="000000"/>
        </w:rPr>
        <w:t>http://www.sdc.uwo.ca/</w:t>
      </w:r>
      <w:r w:rsidRPr="005E0B03">
        <w:rPr>
          <w:bCs/>
          <w:color w:val="000000"/>
        </w:rPr>
        <w:t xml:space="preserve">.  </w:t>
      </w:r>
      <w:r w:rsidR="00D724B0">
        <w:rPr>
          <w:bCs/>
          <w:color w:val="000000"/>
        </w:rPr>
        <w:t>Students</w:t>
      </w:r>
      <w:r w:rsidRPr="005E0B03">
        <w:rPr>
          <w:bCs/>
          <w:color w:val="000000"/>
        </w:rPr>
        <w:t xml:space="preserve"> should also become familiar with the services offered by the University Library System.  The D.B. Weldon Library may be contacted by telephone at (519)661-3162 or by email at </w:t>
      </w:r>
      <w:r w:rsidRPr="005E0B03">
        <w:rPr>
          <w:bCs/>
          <w:i/>
          <w:iCs/>
          <w:color w:val="000000"/>
        </w:rPr>
        <w:t>dbwref@lib.uwo.ca</w:t>
      </w:r>
      <w:r w:rsidRPr="005E0B03">
        <w:rPr>
          <w:bCs/>
          <w:color w:val="000000"/>
        </w:rPr>
        <w:t xml:space="preserve">, or on the web at </w:t>
      </w:r>
      <w:r w:rsidRPr="005E0B03">
        <w:rPr>
          <w:bCs/>
          <w:i/>
          <w:iCs/>
          <w:color w:val="000000"/>
        </w:rPr>
        <w:t>http://www.lib.uwo.ca/weldon/#</w:t>
      </w:r>
      <w:r w:rsidRPr="005E0B03">
        <w:rPr>
          <w:bCs/>
          <w:color w:val="000000"/>
        </w:rPr>
        <w:t>.</w:t>
      </w:r>
    </w:p>
    <w:p w:rsidR="00916E95" w:rsidRPr="005E0B03" w:rsidRDefault="00916E95" w:rsidP="00916E95">
      <w:pPr>
        <w:jc w:val="both"/>
        <w:rPr>
          <w:bCs/>
          <w:color w:val="000000"/>
        </w:rPr>
      </w:pPr>
    </w:p>
    <w:p w:rsidR="00916E95" w:rsidRPr="005E0B03" w:rsidRDefault="00916E95" w:rsidP="00916E95">
      <w:pPr>
        <w:jc w:val="both"/>
        <w:rPr>
          <w:bCs/>
          <w:color w:val="000000"/>
        </w:rPr>
      </w:pPr>
    </w:p>
    <w:p w:rsidR="00CE128E" w:rsidRDefault="00916E95" w:rsidP="00916E95">
      <w:pPr>
        <w:jc w:val="both"/>
        <w:rPr>
          <w:b/>
          <w:color w:val="000000"/>
        </w:rPr>
      </w:pPr>
      <w:r w:rsidRPr="005E0B03">
        <w:rPr>
          <w:b/>
          <w:color w:val="000000"/>
        </w:rPr>
        <w:t>Course Outline by Topic</w:t>
      </w:r>
    </w:p>
    <w:p w:rsidR="00502026" w:rsidRDefault="00502026" w:rsidP="00916E95">
      <w:pPr>
        <w:jc w:val="both"/>
        <w:rPr>
          <w:b/>
          <w:color w:val="000000"/>
        </w:rPr>
      </w:pPr>
    </w:p>
    <w:p w:rsidR="00916E95" w:rsidRDefault="00916E95" w:rsidP="00916E95">
      <w:pPr>
        <w:jc w:val="both"/>
        <w:rPr>
          <w:b/>
          <w:color w:val="000000"/>
        </w:rPr>
      </w:pPr>
    </w:p>
    <w:p w:rsidR="00916E95" w:rsidRDefault="009C2BEA" w:rsidP="00916E95">
      <w:pPr>
        <w:jc w:val="both"/>
        <w:rPr>
          <w:b/>
        </w:rPr>
      </w:pPr>
      <w:r>
        <w:rPr>
          <w:b/>
        </w:rPr>
        <w:t>January 11</w:t>
      </w:r>
      <w:r>
        <w:rPr>
          <w:b/>
        </w:rPr>
        <w:tab/>
      </w:r>
      <w:r w:rsidR="00A020D6">
        <w:rPr>
          <w:b/>
        </w:rPr>
        <w:t>The Importance of Context</w:t>
      </w:r>
    </w:p>
    <w:p w:rsidR="00A020D6" w:rsidRDefault="00A020D6" w:rsidP="00916E95">
      <w:pPr>
        <w:jc w:val="both"/>
        <w:rPr>
          <w:b/>
        </w:rPr>
      </w:pPr>
    </w:p>
    <w:p w:rsidR="009C2BEA" w:rsidRDefault="009C2BEA" w:rsidP="00916E95">
      <w:pPr>
        <w:jc w:val="both"/>
        <w:rPr>
          <w:b/>
        </w:rPr>
      </w:pPr>
    </w:p>
    <w:p w:rsidR="009C2BEA" w:rsidRDefault="009C2BEA" w:rsidP="00916E95">
      <w:pPr>
        <w:jc w:val="both"/>
        <w:rPr>
          <w:b/>
        </w:rPr>
      </w:pPr>
      <w:r>
        <w:rPr>
          <w:b/>
        </w:rPr>
        <w:t>January 18</w:t>
      </w:r>
      <w:r w:rsidR="00A020D6">
        <w:rPr>
          <w:b/>
        </w:rPr>
        <w:tab/>
        <w:t>Transitions</w:t>
      </w:r>
    </w:p>
    <w:p w:rsidR="00A020D6" w:rsidRDefault="00A020D6" w:rsidP="00A020D6">
      <w:pPr>
        <w:jc w:val="both"/>
        <w:rPr>
          <w:b/>
        </w:rPr>
      </w:pPr>
    </w:p>
    <w:p w:rsidR="00A020D6" w:rsidRDefault="00A020D6" w:rsidP="00A020D6">
      <w:pPr>
        <w:autoSpaceDE w:val="0"/>
        <w:autoSpaceDN w:val="0"/>
        <w:adjustRightInd w:val="0"/>
        <w:ind w:left="720"/>
        <w:rPr>
          <w:bCs/>
          <w:color w:val="000000"/>
        </w:rPr>
      </w:pPr>
      <w:r w:rsidRPr="00335D62">
        <w:rPr>
          <w:bCs/>
          <w:color w:val="000000"/>
        </w:rPr>
        <w:t>Arthur, Paige. “How ‘Transitions’ Resh</w:t>
      </w:r>
      <w:r>
        <w:rPr>
          <w:bCs/>
          <w:color w:val="000000"/>
        </w:rPr>
        <w:t xml:space="preserve">aped Human Rights: A Conceptual </w:t>
      </w:r>
      <w:r w:rsidRPr="00335D62">
        <w:rPr>
          <w:bCs/>
          <w:color w:val="000000"/>
        </w:rPr>
        <w:t xml:space="preserve">History of Transitional Justice,” </w:t>
      </w:r>
      <w:r w:rsidRPr="00335D62">
        <w:rPr>
          <w:bCs/>
          <w:i/>
          <w:color w:val="000000"/>
        </w:rPr>
        <w:t>Human Rights Quarterly</w:t>
      </w:r>
      <w:r w:rsidRPr="00335D62">
        <w:rPr>
          <w:bCs/>
          <w:color w:val="000000"/>
        </w:rPr>
        <w:t xml:space="preserve"> 31.2 (2009): 321-367.</w:t>
      </w:r>
    </w:p>
    <w:p w:rsidR="00A020D6" w:rsidRDefault="00A020D6" w:rsidP="00A020D6">
      <w:pPr>
        <w:autoSpaceDE w:val="0"/>
        <w:autoSpaceDN w:val="0"/>
        <w:adjustRightInd w:val="0"/>
        <w:ind w:left="720" w:hanging="720"/>
        <w:rPr>
          <w:bCs/>
          <w:color w:val="000000"/>
        </w:rPr>
      </w:pPr>
    </w:p>
    <w:p w:rsidR="00A020D6" w:rsidRPr="00335D62" w:rsidRDefault="00A020D6" w:rsidP="00A020D6">
      <w:pPr>
        <w:pStyle w:val="FootnoteText"/>
        <w:ind w:left="720" w:hanging="720"/>
        <w:rPr>
          <w:sz w:val="24"/>
          <w:szCs w:val="24"/>
        </w:rPr>
      </w:pPr>
      <w:r>
        <w:rPr>
          <w:bCs/>
          <w:color w:val="000000"/>
        </w:rPr>
        <w:tab/>
      </w:r>
      <w:r w:rsidRPr="00335D62">
        <w:rPr>
          <w:sz w:val="24"/>
          <w:szCs w:val="24"/>
        </w:rPr>
        <w:t xml:space="preserve">de Brito, Alexandra Barahona. </w:t>
      </w:r>
      <w:r w:rsidR="001D6124">
        <w:rPr>
          <w:sz w:val="24"/>
          <w:szCs w:val="24"/>
        </w:rPr>
        <w:t xml:space="preserve">“Introduction.” </w:t>
      </w:r>
      <w:r w:rsidRPr="00335D62">
        <w:rPr>
          <w:i/>
          <w:iCs/>
          <w:sz w:val="24"/>
          <w:szCs w:val="24"/>
        </w:rPr>
        <w:t>Human Rights and Democratization in Latin America:  Uruguay and Chile</w:t>
      </w:r>
      <w:r w:rsidRPr="00335D62">
        <w:rPr>
          <w:sz w:val="24"/>
          <w:szCs w:val="24"/>
        </w:rPr>
        <w:t>. New York:  Oxford University Press, 1997.</w:t>
      </w:r>
    </w:p>
    <w:p w:rsidR="00A020D6" w:rsidRDefault="00A020D6" w:rsidP="00A020D6">
      <w:pPr>
        <w:autoSpaceDE w:val="0"/>
        <w:autoSpaceDN w:val="0"/>
        <w:adjustRightInd w:val="0"/>
        <w:ind w:left="720" w:hanging="720"/>
        <w:rPr>
          <w:bCs/>
          <w:color w:val="000000"/>
        </w:rPr>
      </w:pPr>
    </w:p>
    <w:p w:rsidR="00A020D6" w:rsidRDefault="00A020D6" w:rsidP="001D6124">
      <w:pPr>
        <w:ind w:left="720" w:hanging="720"/>
      </w:pPr>
      <w:r>
        <w:rPr>
          <w:bCs/>
          <w:color w:val="000000"/>
        </w:rPr>
        <w:tab/>
      </w:r>
      <w:r w:rsidR="001D6124">
        <w:t xml:space="preserve">“The Dilemmas of Transitional Justice.” In </w:t>
      </w:r>
      <w:r w:rsidR="001D6124">
        <w:rPr>
          <w:i/>
          <w:iCs/>
        </w:rPr>
        <w:t xml:space="preserve">Transitional Justice: How Emerging Democracies Reckon with Former Regimes. </w:t>
      </w:r>
      <w:r w:rsidR="001D6124">
        <w:t>Washington D.C.: United States Institute of Peace, 1995. pp.xix-xxx.</w:t>
      </w:r>
    </w:p>
    <w:p w:rsidR="001D6124" w:rsidRDefault="001D6124" w:rsidP="001D6124">
      <w:pPr>
        <w:ind w:left="720" w:hanging="720"/>
        <w:rPr>
          <w:bCs/>
          <w:color w:val="000000"/>
        </w:rPr>
      </w:pPr>
    </w:p>
    <w:p w:rsidR="00A020D6" w:rsidRPr="00335D62" w:rsidRDefault="001D6124" w:rsidP="00A020D6">
      <w:pPr>
        <w:pStyle w:val="FootnoteText"/>
        <w:ind w:left="720"/>
        <w:rPr>
          <w:sz w:val="24"/>
          <w:szCs w:val="24"/>
        </w:rPr>
      </w:pPr>
      <w:r>
        <w:rPr>
          <w:sz w:val="24"/>
          <w:szCs w:val="24"/>
        </w:rPr>
        <w:t xml:space="preserve">Whitehead, Lawrence. “International Aspects of Democratization.” In </w:t>
      </w:r>
      <w:r w:rsidRPr="00335D62">
        <w:rPr>
          <w:i/>
          <w:iCs/>
          <w:sz w:val="24"/>
          <w:szCs w:val="24"/>
        </w:rPr>
        <w:t>Transitions from Authoritarian Rule: Comparative Perspectives</w:t>
      </w:r>
      <w:r w:rsidRPr="00335D62">
        <w:rPr>
          <w:sz w:val="24"/>
          <w:szCs w:val="24"/>
        </w:rPr>
        <w:t xml:space="preserve">. </w:t>
      </w:r>
      <w:r>
        <w:rPr>
          <w:sz w:val="24"/>
          <w:szCs w:val="24"/>
        </w:rPr>
        <w:t xml:space="preserve">Eds. </w:t>
      </w:r>
      <w:r w:rsidR="00A020D6" w:rsidRPr="00335D62">
        <w:rPr>
          <w:sz w:val="24"/>
          <w:szCs w:val="24"/>
        </w:rPr>
        <w:t>Guillermo</w:t>
      </w:r>
      <w:r>
        <w:rPr>
          <w:sz w:val="24"/>
          <w:szCs w:val="24"/>
        </w:rPr>
        <w:t xml:space="preserve"> </w:t>
      </w:r>
      <w:r w:rsidRPr="00335D62">
        <w:rPr>
          <w:sz w:val="24"/>
          <w:szCs w:val="24"/>
        </w:rPr>
        <w:t>O’Donnell,</w:t>
      </w:r>
      <w:r w:rsidR="00A020D6" w:rsidRPr="00335D62">
        <w:rPr>
          <w:sz w:val="24"/>
          <w:szCs w:val="24"/>
        </w:rPr>
        <w:t xml:space="preserve"> Philippe C. Schmitter, and Laurence Whitehead.  Baltimore: Johns Hopkins University Press, 1986.</w:t>
      </w:r>
      <w:r>
        <w:rPr>
          <w:sz w:val="24"/>
          <w:szCs w:val="24"/>
        </w:rPr>
        <w:t xml:space="preserve"> pp. 3-46.</w:t>
      </w:r>
    </w:p>
    <w:p w:rsidR="009C2BEA" w:rsidRDefault="009C2BEA" w:rsidP="00A020D6">
      <w:pPr>
        <w:jc w:val="both"/>
        <w:rPr>
          <w:b/>
        </w:rPr>
      </w:pPr>
    </w:p>
    <w:p w:rsidR="00A020D6" w:rsidRDefault="00A020D6" w:rsidP="00A020D6">
      <w:pPr>
        <w:jc w:val="both"/>
        <w:rPr>
          <w:b/>
        </w:rPr>
      </w:pPr>
    </w:p>
    <w:p w:rsidR="009C2BEA" w:rsidRDefault="009C2BEA" w:rsidP="00916E95">
      <w:pPr>
        <w:jc w:val="both"/>
        <w:rPr>
          <w:b/>
        </w:rPr>
      </w:pPr>
      <w:r>
        <w:rPr>
          <w:b/>
        </w:rPr>
        <w:t>January 25</w:t>
      </w:r>
      <w:r w:rsidR="00A020D6">
        <w:rPr>
          <w:b/>
        </w:rPr>
        <w:tab/>
        <w:t>Addressing Colonial Harms</w:t>
      </w:r>
    </w:p>
    <w:p w:rsidR="00A020D6" w:rsidRDefault="00A020D6" w:rsidP="00916E95">
      <w:pPr>
        <w:jc w:val="both"/>
        <w:rPr>
          <w:b/>
        </w:rPr>
      </w:pPr>
    </w:p>
    <w:p w:rsidR="00A020D6" w:rsidRPr="00543B2C" w:rsidRDefault="00A020D6" w:rsidP="00543B2C">
      <w:pPr>
        <w:autoSpaceDE w:val="0"/>
        <w:autoSpaceDN w:val="0"/>
        <w:adjustRightInd w:val="0"/>
        <w:ind w:left="720"/>
        <w:rPr>
          <w:rFonts w:cs="AdvP42FAA2"/>
        </w:rPr>
      </w:pPr>
      <w:r w:rsidRPr="008F5BF2">
        <w:rPr>
          <w:rFonts w:cs="AdvP42FAA2"/>
        </w:rPr>
        <w:t>Balint, Jennifer</w:t>
      </w:r>
      <w:r>
        <w:rPr>
          <w:rFonts w:cs="AdvP42FAA2"/>
        </w:rPr>
        <w:t>,</w:t>
      </w:r>
      <w:r w:rsidRPr="008F5BF2">
        <w:rPr>
          <w:rFonts w:cs="AdvP42FAA2"/>
        </w:rPr>
        <w:t xml:space="preserve"> Julie Evans, and Nesam McMillan</w:t>
      </w:r>
      <w:r>
        <w:rPr>
          <w:rFonts w:cs="AdvP42FAA2"/>
        </w:rPr>
        <w:t>.</w:t>
      </w:r>
      <w:r w:rsidRPr="008F5BF2">
        <w:rPr>
          <w:rFonts w:cs="AdvP42FAA2"/>
        </w:rPr>
        <w:t xml:space="preserve"> “</w:t>
      </w:r>
      <w:r w:rsidRPr="008F5BF2">
        <w:rPr>
          <w:rFonts w:cs="AdvP449CFA"/>
        </w:rPr>
        <w:t>Rethinking Transitional Justice, Redressing Indigenous Harm: A New Conceptual Approach</w:t>
      </w:r>
      <w:r>
        <w:rPr>
          <w:rFonts w:cs="AdvP449CFA"/>
        </w:rPr>
        <w:t>.</w:t>
      </w:r>
      <w:r w:rsidRPr="008F5BF2">
        <w:rPr>
          <w:rFonts w:cs="AdvP449CFA"/>
        </w:rPr>
        <w:t xml:space="preserve">” </w:t>
      </w:r>
      <w:r w:rsidRPr="008F5BF2">
        <w:rPr>
          <w:rFonts w:cs="AdvP449CFA"/>
          <w:i/>
        </w:rPr>
        <w:t>International Journal of Transitional Justice</w:t>
      </w:r>
      <w:r w:rsidRPr="008F5BF2">
        <w:rPr>
          <w:rFonts w:cs="AdvP449CFA"/>
        </w:rPr>
        <w:t xml:space="preserve"> 8.2 (</w:t>
      </w:r>
      <w:r w:rsidRPr="008F5BF2">
        <w:rPr>
          <w:rFonts w:cs="AdvP42FAA2"/>
        </w:rPr>
        <w:t xml:space="preserve">2014): </w:t>
      </w:r>
      <w:r w:rsidRPr="008F5BF2">
        <w:rPr>
          <w:rStyle w:val="cit-first-page"/>
          <w:iCs/>
        </w:rPr>
        <w:t>194</w:t>
      </w:r>
      <w:r w:rsidRPr="008F5BF2">
        <w:rPr>
          <w:rStyle w:val="cit-sep"/>
          <w:iCs/>
        </w:rPr>
        <w:t>-</w:t>
      </w:r>
      <w:r w:rsidRPr="008F5BF2">
        <w:rPr>
          <w:rStyle w:val="cit-last-page"/>
          <w:iCs/>
        </w:rPr>
        <w:t>216</w:t>
      </w:r>
      <w:r w:rsidRPr="008F5BF2">
        <w:rPr>
          <w:rFonts w:cs="AdvP42FAA2"/>
        </w:rPr>
        <w:t>.</w:t>
      </w:r>
    </w:p>
    <w:p w:rsidR="008522B0" w:rsidRDefault="00A020D6" w:rsidP="00A020D6">
      <w:pPr>
        <w:autoSpaceDE w:val="0"/>
        <w:autoSpaceDN w:val="0"/>
        <w:adjustRightInd w:val="0"/>
        <w:ind w:left="720" w:hanging="720"/>
        <w:rPr>
          <w:rFonts w:eastAsiaTheme="minorHAnsi"/>
          <w:lang w:val="en-CA"/>
        </w:rPr>
      </w:pPr>
      <w:r>
        <w:rPr>
          <w:color w:val="000000"/>
        </w:rPr>
        <w:tab/>
      </w:r>
    </w:p>
    <w:p w:rsidR="008522B0" w:rsidRDefault="008522B0" w:rsidP="008522B0">
      <w:pPr>
        <w:autoSpaceDE w:val="0"/>
        <w:autoSpaceDN w:val="0"/>
        <w:adjustRightInd w:val="0"/>
        <w:ind w:left="720"/>
        <w:rPr>
          <w:rFonts w:eastAsiaTheme="minorHAnsi"/>
          <w:color w:val="131413"/>
          <w:lang w:val="en-CA"/>
        </w:rPr>
      </w:pPr>
      <w:r w:rsidRPr="008522B0">
        <w:rPr>
          <w:rFonts w:eastAsiaTheme="minorHAnsi"/>
          <w:color w:val="131413"/>
          <w:lang w:val="en-CA"/>
        </w:rPr>
        <w:t xml:space="preserve">Corntassel, Jeff </w:t>
      </w:r>
      <w:r w:rsidRPr="008522B0">
        <w:rPr>
          <w:rFonts w:eastAsiaTheme="minorHAnsi"/>
          <w:iCs/>
          <w:color w:val="131413"/>
          <w:lang w:val="en-CA"/>
        </w:rPr>
        <w:t>and</w:t>
      </w:r>
      <w:r w:rsidRPr="008522B0">
        <w:rPr>
          <w:rFonts w:eastAsiaTheme="minorHAnsi"/>
          <w:i/>
          <w:iCs/>
          <w:color w:val="131413"/>
          <w:lang w:val="en-CA"/>
        </w:rPr>
        <w:t xml:space="preserve"> </w:t>
      </w:r>
      <w:r w:rsidRPr="008522B0">
        <w:rPr>
          <w:rFonts w:eastAsiaTheme="minorHAnsi"/>
          <w:color w:val="131413"/>
          <w:lang w:val="en-CA"/>
        </w:rPr>
        <w:t xml:space="preserve">Cindy Holder. “Who’s Sorry Now? Government Apologies, Truth Commissions, and Indigenous Self-Determination in Australia, Canada, Guatemala, and Peru.” </w:t>
      </w:r>
      <w:r w:rsidRPr="008522B0">
        <w:rPr>
          <w:rFonts w:eastAsiaTheme="minorHAnsi"/>
          <w:i/>
          <w:color w:val="131413"/>
          <w:lang w:val="en-CA"/>
        </w:rPr>
        <w:t>Human Rights Review</w:t>
      </w:r>
      <w:r w:rsidRPr="008522B0">
        <w:rPr>
          <w:rFonts w:eastAsiaTheme="minorHAnsi"/>
          <w:color w:val="131413"/>
          <w:lang w:val="en-CA"/>
        </w:rPr>
        <w:t xml:space="preserve"> 9.4 (2008):465</w:t>
      </w:r>
      <w:r>
        <w:rPr>
          <w:rFonts w:eastAsiaTheme="minorHAnsi"/>
          <w:color w:val="131413"/>
          <w:lang w:val="en-CA"/>
        </w:rPr>
        <w:t>-</w:t>
      </w:r>
      <w:r w:rsidRPr="008522B0">
        <w:rPr>
          <w:rFonts w:eastAsiaTheme="minorHAnsi"/>
          <w:color w:val="131413"/>
          <w:lang w:val="en-CA"/>
        </w:rPr>
        <w:t>489</w:t>
      </w:r>
      <w:r>
        <w:rPr>
          <w:rFonts w:eastAsiaTheme="minorHAnsi"/>
          <w:color w:val="131413"/>
          <w:lang w:val="en-CA"/>
        </w:rPr>
        <w:t>.</w:t>
      </w:r>
    </w:p>
    <w:p w:rsidR="00D5692D" w:rsidRDefault="00D5692D" w:rsidP="008522B0">
      <w:pPr>
        <w:autoSpaceDE w:val="0"/>
        <w:autoSpaceDN w:val="0"/>
        <w:adjustRightInd w:val="0"/>
        <w:ind w:left="720"/>
        <w:rPr>
          <w:rFonts w:eastAsiaTheme="minorHAnsi"/>
          <w:color w:val="131413"/>
          <w:lang w:val="en-CA"/>
        </w:rPr>
      </w:pPr>
    </w:p>
    <w:p w:rsidR="00543B2C" w:rsidRDefault="00543B2C" w:rsidP="00543B2C">
      <w:pPr>
        <w:autoSpaceDE w:val="0"/>
        <w:autoSpaceDN w:val="0"/>
        <w:adjustRightInd w:val="0"/>
        <w:ind w:left="720"/>
        <w:rPr>
          <w:rFonts w:eastAsiaTheme="minorHAnsi"/>
          <w:lang w:val="en-CA"/>
        </w:rPr>
      </w:pPr>
      <w:r w:rsidRPr="00A020D6">
        <w:rPr>
          <w:color w:val="000000"/>
        </w:rPr>
        <w:t>Nagy, Rosemary L. “</w:t>
      </w:r>
      <w:r w:rsidRPr="00A020D6">
        <w:rPr>
          <w:rFonts w:eastAsiaTheme="minorHAnsi"/>
          <w:lang w:val="en-CA"/>
        </w:rPr>
        <w:t xml:space="preserve">The Scope and Bounds of Transitional Justice and the Canadian Truth and Reconciliation Commission.” </w:t>
      </w:r>
      <w:r w:rsidRPr="00A020D6">
        <w:rPr>
          <w:rFonts w:eastAsiaTheme="minorHAnsi"/>
          <w:i/>
          <w:lang w:val="en-CA"/>
        </w:rPr>
        <w:t>International Journal of Transitional Justice</w:t>
      </w:r>
      <w:r w:rsidRPr="00A020D6">
        <w:rPr>
          <w:rFonts w:eastAsiaTheme="minorHAnsi"/>
          <w:lang w:val="en-CA"/>
        </w:rPr>
        <w:t xml:space="preserve"> 7.</w:t>
      </w:r>
      <w:r>
        <w:rPr>
          <w:rFonts w:eastAsiaTheme="minorHAnsi"/>
          <w:lang w:val="en-CA"/>
        </w:rPr>
        <w:t>3 (</w:t>
      </w:r>
      <w:r w:rsidRPr="00A020D6">
        <w:rPr>
          <w:rFonts w:eastAsiaTheme="minorHAnsi"/>
          <w:lang w:val="en-CA"/>
        </w:rPr>
        <w:t>2013</w:t>
      </w:r>
      <w:r>
        <w:rPr>
          <w:rFonts w:eastAsiaTheme="minorHAnsi"/>
          <w:lang w:val="en-CA"/>
        </w:rPr>
        <w:t>):</w:t>
      </w:r>
      <w:r w:rsidRPr="00A020D6">
        <w:rPr>
          <w:rFonts w:eastAsiaTheme="minorHAnsi"/>
          <w:lang w:val="en-CA"/>
        </w:rPr>
        <w:t xml:space="preserve"> 52</w:t>
      </w:r>
      <w:r>
        <w:rPr>
          <w:rFonts w:eastAsiaTheme="minorHAnsi"/>
          <w:lang w:val="en-CA"/>
        </w:rPr>
        <w:t>-</w:t>
      </w:r>
      <w:r w:rsidRPr="00A020D6">
        <w:rPr>
          <w:rFonts w:eastAsiaTheme="minorHAnsi"/>
          <w:lang w:val="en-CA"/>
        </w:rPr>
        <w:t>73</w:t>
      </w:r>
      <w:r>
        <w:rPr>
          <w:rFonts w:eastAsiaTheme="minorHAnsi"/>
          <w:lang w:val="en-CA"/>
        </w:rPr>
        <w:t>.</w:t>
      </w:r>
    </w:p>
    <w:p w:rsidR="00543B2C" w:rsidRDefault="00543B2C" w:rsidP="00543B2C">
      <w:pPr>
        <w:autoSpaceDE w:val="0"/>
        <w:autoSpaceDN w:val="0"/>
        <w:adjustRightInd w:val="0"/>
        <w:ind w:left="720" w:hanging="720"/>
        <w:rPr>
          <w:rFonts w:eastAsiaTheme="minorHAnsi"/>
          <w:lang w:val="en-CA"/>
        </w:rPr>
      </w:pPr>
    </w:p>
    <w:p w:rsidR="00D5692D" w:rsidRDefault="00D5692D" w:rsidP="008522B0">
      <w:pPr>
        <w:autoSpaceDE w:val="0"/>
        <w:autoSpaceDN w:val="0"/>
        <w:adjustRightInd w:val="0"/>
        <w:ind w:left="720"/>
        <w:rPr>
          <w:rFonts w:eastAsiaTheme="minorHAnsi"/>
          <w:color w:val="131413"/>
          <w:lang w:val="en-CA"/>
        </w:rPr>
      </w:pPr>
      <w:r>
        <w:rPr>
          <w:rFonts w:eastAsiaTheme="minorHAnsi"/>
          <w:color w:val="131413"/>
          <w:lang w:val="en-CA"/>
        </w:rPr>
        <w:t xml:space="preserve">Niezen, Ronald.  “The Unfolding.” In </w:t>
      </w:r>
      <w:r>
        <w:rPr>
          <w:rFonts w:eastAsiaTheme="minorHAnsi"/>
          <w:i/>
          <w:color w:val="131413"/>
          <w:lang w:val="en-CA"/>
        </w:rPr>
        <w:t>Truth and Indignation: Canada’s Truth and Reconciliation Commission on Indian Residential Schools</w:t>
      </w:r>
      <w:r>
        <w:rPr>
          <w:rFonts w:eastAsiaTheme="minorHAnsi"/>
          <w:color w:val="131413"/>
          <w:lang w:val="en-CA"/>
        </w:rPr>
        <w:t xml:space="preserve">. Toronto: University of Toronto Press, </w:t>
      </w:r>
      <w:r w:rsidR="00543B2C">
        <w:rPr>
          <w:rFonts w:eastAsiaTheme="minorHAnsi"/>
          <w:color w:val="131413"/>
          <w:lang w:val="en-CA"/>
        </w:rPr>
        <w:t>2013, 25-41.</w:t>
      </w:r>
    </w:p>
    <w:p w:rsidR="00543B2C" w:rsidRDefault="00543B2C" w:rsidP="008522B0">
      <w:pPr>
        <w:autoSpaceDE w:val="0"/>
        <w:autoSpaceDN w:val="0"/>
        <w:adjustRightInd w:val="0"/>
        <w:ind w:left="720"/>
        <w:rPr>
          <w:rFonts w:eastAsiaTheme="minorHAnsi"/>
          <w:color w:val="131413"/>
          <w:lang w:val="en-CA"/>
        </w:rPr>
      </w:pPr>
    </w:p>
    <w:p w:rsidR="00543B2C" w:rsidRDefault="00543B2C" w:rsidP="00543B2C">
      <w:pPr>
        <w:ind w:left="720"/>
        <w:jc w:val="both"/>
        <w:rPr>
          <w:color w:val="000000"/>
        </w:rPr>
      </w:pPr>
      <w:r w:rsidRPr="005E0B03">
        <w:rPr>
          <w:bCs/>
          <w:color w:val="000000"/>
        </w:rPr>
        <w:t>Rice</w:t>
      </w:r>
      <w:r>
        <w:rPr>
          <w:bCs/>
          <w:color w:val="000000"/>
        </w:rPr>
        <w:t xml:space="preserve">, </w:t>
      </w:r>
      <w:r w:rsidRPr="005E0B03">
        <w:rPr>
          <w:bCs/>
          <w:color w:val="000000"/>
        </w:rPr>
        <w:t>Brian and Anna Snyder</w:t>
      </w:r>
      <w:r>
        <w:rPr>
          <w:bCs/>
          <w:color w:val="000000"/>
        </w:rPr>
        <w:t>.</w:t>
      </w:r>
      <w:r w:rsidRPr="005E0B03">
        <w:rPr>
          <w:bCs/>
          <w:color w:val="000000"/>
        </w:rPr>
        <w:t xml:space="preserve"> “</w:t>
      </w:r>
      <w:r w:rsidRPr="005E0B03">
        <w:rPr>
          <w:color w:val="000000"/>
          <w:lang w:val="en-CA" w:eastAsia="en-CA"/>
        </w:rPr>
        <w:t>Reconciliation in the Context of a Settler Society: Healing the Legacy of Colonialism in Canada</w:t>
      </w:r>
      <w:r>
        <w:rPr>
          <w:color w:val="000000"/>
          <w:lang w:val="en-CA" w:eastAsia="en-CA"/>
        </w:rPr>
        <w:t>.</w:t>
      </w:r>
      <w:r w:rsidRPr="005E0B03">
        <w:rPr>
          <w:color w:val="000000"/>
          <w:lang w:val="en-CA" w:eastAsia="en-CA"/>
        </w:rPr>
        <w:t xml:space="preserve">” </w:t>
      </w:r>
      <w:r>
        <w:rPr>
          <w:bCs/>
          <w:color w:val="000000"/>
        </w:rPr>
        <w:t>I</w:t>
      </w:r>
      <w:r w:rsidRPr="005E0B03">
        <w:rPr>
          <w:bCs/>
          <w:color w:val="000000"/>
        </w:rPr>
        <w:t xml:space="preserve">n </w:t>
      </w:r>
      <w:r w:rsidRPr="005E0B03">
        <w:rPr>
          <w:i/>
          <w:color w:val="000000"/>
        </w:rPr>
        <w:t>From Truth to Reconciliation: Transforming the Legacy of Residential Schools</w:t>
      </w:r>
      <w:r>
        <w:rPr>
          <w:color w:val="000000"/>
        </w:rPr>
        <w:t>.  E</w:t>
      </w:r>
      <w:r w:rsidRPr="005E0B03">
        <w:rPr>
          <w:color w:val="000000"/>
        </w:rPr>
        <w:t>ds. Marlene Brant-Castellano, Lin</w:t>
      </w:r>
      <w:r>
        <w:rPr>
          <w:color w:val="000000"/>
        </w:rPr>
        <w:t xml:space="preserve">da Archibald, and Mike DeGagné. </w:t>
      </w:r>
      <w:r w:rsidRPr="005E0B03">
        <w:rPr>
          <w:color w:val="000000"/>
        </w:rPr>
        <w:t>Ottawa: Aboriginal Healing Foundation, 2008</w:t>
      </w:r>
      <w:r>
        <w:rPr>
          <w:color w:val="000000"/>
        </w:rPr>
        <w:t>.</w:t>
      </w:r>
    </w:p>
    <w:p w:rsidR="009C2BEA" w:rsidRDefault="00543B2C" w:rsidP="00502026">
      <w:pPr>
        <w:rPr>
          <w:b/>
        </w:rPr>
      </w:pPr>
      <w:r>
        <w:rPr>
          <w:b/>
        </w:rPr>
        <w:br w:type="page"/>
      </w:r>
      <w:r w:rsidR="009C2BEA">
        <w:rPr>
          <w:b/>
        </w:rPr>
        <w:t>February 01</w:t>
      </w:r>
      <w:r w:rsidR="00A020D6">
        <w:rPr>
          <w:b/>
        </w:rPr>
        <w:tab/>
        <w:t>International Criminal Justice</w:t>
      </w:r>
    </w:p>
    <w:p w:rsidR="00A020D6" w:rsidRDefault="00A020D6" w:rsidP="00916E95">
      <w:pPr>
        <w:jc w:val="both"/>
        <w:rPr>
          <w:b/>
        </w:rPr>
      </w:pPr>
    </w:p>
    <w:p w:rsidR="00543B2C" w:rsidRDefault="00543B2C" w:rsidP="00543B2C">
      <w:pPr>
        <w:pStyle w:val="Title"/>
        <w:ind w:left="720"/>
        <w:jc w:val="left"/>
        <w:rPr>
          <w:color w:val="000000"/>
        </w:rPr>
      </w:pPr>
      <w:r w:rsidRPr="005E0B03">
        <w:rPr>
          <w:bCs/>
          <w:color w:val="000000"/>
        </w:rPr>
        <w:t>Cohen, David</w:t>
      </w:r>
      <w:r>
        <w:rPr>
          <w:bCs/>
          <w:color w:val="000000"/>
        </w:rPr>
        <w:t>.</w:t>
      </w:r>
      <w:r w:rsidRPr="005E0B03">
        <w:rPr>
          <w:bCs/>
          <w:color w:val="000000"/>
        </w:rPr>
        <w:t xml:space="preserve"> “Transitional Justice in Divided Germany after 1945</w:t>
      </w:r>
      <w:r>
        <w:rPr>
          <w:bCs/>
          <w:color w:val="000000"/>
        </w:rPr>
        <w:t>.</w:t>
      </w:r>
      <w:r w:rsidRPr="005E0B03">
        <w:rPr>
          <w:bCs/>
          <w:color w:val="000000"/>
        </w:rPr>
        <w:t xml:space="preserve">” </w:t>
      </w:r>
      <w:r>
        <w:rPr>
          <w:bCs/>
          <w:color w:val="000000"/>
        </w:rPr>
        <w:t>I</w:t>
      </w:r>
      <w:r w:rsidRPr="005E0B03">
        <w:rPr>
          <w:bCs/>
          <w:color w:val="000000"/>
        </w:rPr>
        <w:t xml:space="preserve">n </w:t>
      </w:r>
      <w:r w:rsidRPr="005E0B03">
        <w:rPr>
          <w:bCs/>
          <w:i/>
          <w:color w:val="000000"/>
        </w:rPr>
        <w:t>Retribution and Reparation in the Transition to Democracy</w:t>
      </w:r>
      <w:r>
        <w:rPr>
          <w:bCs/>
          <w:color w:val="000000"/>
        </w:rPr>
        <w:t xml:space="preserve">. Ed. Jon Elster. </w:t>
      </w:r>
      <w:r w:rsidRPr="005E0B03">
        <w:rPr>
          <w:bCs/>
          <w:color w:val="000000"/>
        </w:rPr>
        <w:t>New York: C</w:t>
      </w:r>
      <w:r>
        <w:rPr>
          <w:bCs/>
          <w:color w:val="000000"/>
        </w:rPr>
        <w:t>ambridge University Press, 2006,</w:t>
      </w:r>
      <w:r w:rsidRPr="005E0B03">
        <w:rPr>
          <w:bCs/>
          <w:color w:val="000000"/>
        </w:rPr>
        <w:t xml:space="preserve"> 59-88</w:t>
      </w:r>
      <w:r>
        <w:rPr>
          <w:color w:val="000000"/>
        </w:rPr>
        <w:t>.</w:t>
      </w:r>
    </w:p>
    <w:p w:rsidR="00543B2C" w:rsidRDefault="00543B2C" w:rsidP="00543B2C">
      <w:pPr>
        <w:pStyle w:val="Title"/>
        <w:ind w:left="720" w:hanging="720"/>
        <w:jc w:val="left"/>
        <w:rPr>
          <w:b/>
        </w:rPr>
      </w:pPr>
    </w:p>
    <w:p w:rsidR="008522B0" w:rsidRDefault="008522B0" w:rsidP="00543B2C">
      <w:pPr>
        <w:pStyle w:val="Title"/>
        <w:ind w:left="720"/>
        <w:jc w:val="left"/>
        <w:rPr>
          <w:bCs/>
          <w:color w:val="000000"/>
        </w:rPr>
      </w:pPr>
      <w:r w:rsidRPr="005E0B03">
        <w:rPr>
          <w:bCs/>
          <w:color w:val="000000"/>
        </w:rPr>
        <w:t>Govier, Trudy</w:t>
      </w:r>
      <w:r>
        <w:rPr>
          <w:bCs/>
          <w:color w:val="000000"/>
        </w:rPr>
        <w:t>.</w:t>
      </w:r>
      <w:r w:rsidRPr="005E0B03">
        <w:rPr>
          <w:bCs/>
          <w:color w:val="000000"/>
        </w:rPr>
        <w:t xml:space="preserve"> “Chapter 1: Revenge and Retribution</w:t>
      </w:r>
      <w:r>
        <w:rPr>
          <w:bCs/>
          <w:color w:val="000000"/>
        </w:rPr>
        <w:t>.</w:t>
      </w:r>
      <w:r w:rsidRPr="005E0B03">
        <w:rPr>
          <w:bCs/>
          <w:color w:val="000000"/>
        </w:rPr>
        <w:t xml:space="preserve">” </w:t>
      </w:r>
      <w:r>
        <w:rPr>
          <w:bCs/>
          <w:color w:val="000000"/>
        </w:rPr>
        <w:t>I</w:t>
      </w:r>
      <w:r w:rsidRPr="005E0B03">
        <w:rPr>
          <w:bCs/>
          <w:color w:val="000000"/>
        </w:rPr>
        <w:t xml:space="preserve">n </w:t>
      </w:r>
      <w:r w:rsidRPr="005E0B03">
        <w:rPr>
          <w:bCs/>
          <w:i/>
          <w:iCs/>
          <w:color w:val="000000"/>
        </w:rPr>
        <w:t>Forgiveness and Revenge</w:t>
      </w:r>
      <w:r>
        <w:rPr>
          <w:bCs/>
          <w:color w:val="000000"/>
        </w:rPr>
        <w:t>. New York: Routledge, 2002,</w:t>
      </w:r>
      <w:r w:rsidRPr="005E0B03">
        <w:rPr>
          <w:bCs/>
          <w:color w:val="000000"/>
        </w:rPr>
        <w:t xml:space="preserve"> 1-22.</w:t>
      </w:r>
    </w:p>
    <w:p w:rsidR="008522B0" w:rsidRPr="005E0B03" w:rsidRDefault="008522B0" w:rsidP="008522B0">
      <w:pPr>
        <w:pStyle w:val="Title"/>
        <w:ind w:left="720" w:hanging="720"/>
        <w:jc w:val="left"/>
        <w:rPr>
          <w:bCs/>
          <w:color w:val="000000"/>
        </w:rPr>
      </w:pPr>
    </w:p>
    <w:p w:rsidR="008522B0" w:rsidRDefault="008522B0" w:rsidP="008522B0">
      <w:pPr>
        <w:pStyle w:val="Title"/>
        <w:ind w:left="720"/>
        <w:jc w:val="left"/>
        <w:rPr>
          <w:bCs/>
          <w:color w:val="000000"/>
        </w:rPr>
      </w:pPr>
      <w:r w:rsidRPr="0046545E">
        <w:rPr>
          <w:bCs/>
          <w:color w:val="000000"/>
        </w:rPr>
        <w:t>Minow, Martha</w:t>
      </w:r>
      <w:r>
        <w:rPr>
          <w:bCs/>
          <w:color w:val="000000"/>
        </w:rPr>
        <w:t>.</w:t>
      </w:r>
      <w:r w:rsidRPr="0046545E">
        <w:rPr>
          <w:bCs/>
          <w:color w:val="000000"/>
        </w:rPr>
        <w:t xml:space="preserve"> “Foreword,” and “Chapter 1: Introduction</w:t>
      </w:r>
      <w:r>
        <w:rPr>
          <w:bCs/>
          <w:color w:val="000000"/>
        </w:rPr>
        <w:t>.</w:t>
      </w:r>
      <w:r w:rsidRPr="0046545E">
        <w:rPr>
          <w:bCs/>
          <w:color w:val="000000"/>
        </w:rPr>
        <w:t xml:space="preserve">” </w:t>
      </w:r>
      <w:r>
        <w:rPr>
          <w:bCs/>
          <w:color w:val="000000"/>
        </w:rPr>
        <w:t>I</w:t>
      </w:r>
      <w:r w:rsidRPr="0046545E">
        <w:rPr>
          <w:bCs/>
          <w:color w:val="000000"/>
        </w:rPr>
        <w:t xml:space="preserve">n </w:t>
      </w:r>
      <w:r w:rsidRPr="0046545E">
        <w:rPr>
          <w:bCs/>
          <w:i/>
          <w:iCs/>
          <w:color w:val="000000"/>
        </w:rPr>
        <w:t>Between Vengeance and Forgiveness</w:t>
      </w:r>
      <w:r>
        <w:rPr>
          <w:bCs/>
          <w:i/>
          <w:iCs/>
          <w:color w:val="000000"/>
        </w:rPr>
        <w:t>.</w:t>
      </w:r>
      <w:r>
        <w:rPr>
          <w:bCs/>
          <w:color w:val="000000"/>
        </w:rPr>
        <w:t xml:space="preserve"> </w:t>
      </w:r>
      <w:r w:rsidRPr="0046545E">
        <w:rPr>
          <w:bCs/>
          <w:color w:val="000000"/>
        </w:rPr>
        <w:t>Boston: Beacon Press, 1</w:t>
      </w:r>
      <w:r>
        <w:rPr>
          <w:bCs/>
          <w:color w:val="000000"/>
        </w:rPr>
        <w:t>998.</w:t>
      </w:r>
    </w:p>
    <w:p w:rsidR="008522B0" w:rsidRPr="0046545E" w:rsidRDefault="008522B0" w:rsidP="008522B0">
      <w:pPr>
        <w:pStyle w:val="Title"/>
        <w:ind w:left="720"/>
        <w:jc w:val="left"/>
        <w:rPr>
          <w:b/>
          <w:color w:val="000000"/>
        </w:rPr>
      </w:pPr>
    </w:p>
    <w:p w:rsidR="008522B0" w:rsidRPr="00335D62" w:rsidRDefault="008522B0" w:rsidP="008522B0">
      <w:pPr>
        <w:pStyle w:val="FootnoteText"/>
        <w:ind w:left="720"/>
        <w:rPr>
          <w:sz w:val="24"/>
          <w:szCs w:val="24"/>
        </w:rPr>
      </w:pPr>
      <w:r w:rsidRPr="00335D62">
        <w:rPr>
          <w:sz w:val="24"/>
          <w:szCs w:val="24"/>
        </w:rPr>
        <w:t xml:space="preserve">Osiel, Mark. </w:t>
      </w:r>
      <w:r w:rsidRPr="00335D62">
        <w:rPr>
          <w:i/>
          <w:iCs/>
          <w:sz w:val="24"/>
          <w:szCs w:val="24"/>
        </w:rPr>
        <w:t>Mass Atrocity, Collective Memory, and the Law</w:t>
      </w:r>
      <w:r w:rsidRPr="00335D62">
        <w:rPr>
          <w:sz w:val="24"/>
          <w:szCs w:val="24"/>
        </w:rPr>
        <w:t>. New Brunswick, NJ: Transaction Publishers, 2000</w:t>
      </w:r>
      <w:r w:rsidR="0047370C">
        <w:rPr>
          <w:sz w:val="24"/>
          <w:szCs w:val="24"/>
        </w:rPr>
        <w:t>, 1-10</w:t>
      </w:r>
      <w:r w:rsidRPr="00335D62">
        <w:rPr>
          <w:sz w:val="24"/>
          <w:szCs w:val="24"/>
        </w:rPr>
        <w:t>.</w:t>
      </w:r>
    </w:p>
    <w:p w:rsidR="008522B0" w:rsidRDefault="008522B0" w:rsidP="00916E95">
      <w:pPr>
        <w:jc w:val="both"/>
        <w:rPr>
          <w:b/>
        </w:rPr>
      </w:pPr>
    </w:p>
    <w:p w:rsidR="008522B0" w:rsidRDefault="008522B0" w:rsidP="008522B0">
      <w:pPr>
        <w:ind w:left="720"/>
        <w:jc w:val="both"/>
        <w:rPr>
          <w:iCs/>
        </w:rPr>
      </w:pPr>
      <w:r w:rsidRPr="00335D62">
        <w:rPr>
          <w:iCs/>
        </w:rPr>
        <w:t xml:space="preserve">Teitel, Ruti. “Transitional Justice Genealogy,” </w:t>
      </w:r>
      <w:r w:rsidRPr="00335D62">
        <w:rPr>
          <w:i/>
          <w:iCs/>
        </w:rPr>
        <w:t>Harvard Human Rights Journal</w:t>
      </w:r>
      <w:r w:rsidRPr="00335D62">
        <w:rPr>
          <w:iCs/>
        </w:rPr>
        <w:t xml:space="preserve"> 16 (2003): 69-94</w:t>
      </w:r>
      <w:r>
        <w:rPr>
          <w:iCs/>
        </w:rPr>
        <w:t>.</w:t>
      </w:r>
    </w:p>
    <w:p w:rsidR="0047370C" w:rsidRDefault="0047370C" w:rsidP="008522B0">
      <w:pPr>
        <w:ind w:left="720"/>
        <w:jc w:val="both"/>
        <w:rPr>
          <w:b/>
        </w:rPr>
      </w:pPr>
    </w:p>
    <w:p w:rsidR="009C2BEA" w:rsidRDefault="009C2BEA" w:rsidP="00916E95">
      <w:pPr>
        <w:jc w:val="both"/>
        <w:rPr>
          <w:b/>
        </w:rPr>
      </w:pPr>
    </w:p>
    <w:p w:rsidR="009C2BEA" w:rsidRDefault="009C2BEA" w:rsidP="00916E95">
      <w:pPr>
        <w:jc w:val="both"/>
        <w:rPr>
          <w:b/>
        </w:rPr>
      </w:pPr>
      <w:r>
        <w:rPr>
          <w:b/>
        </w:rPr>
        <w:t>February 08</w:t>
      </w:r>
      <w:r w:rsidR="00A020D6">
        <w:rPr>
          <w:b/>
        </w:rPr>
        <w:tab/>
        <w:t>Truth Commissions</w:t>
      </w:r>
    </w:p>
    <w:p w:rsidR="00A020D6" w:rsidRDefault="00A020D6" w:rsidP="00916E95">
      <w:pPr>
        <w:jc w:val="both"/>
        <w:rPr>
          <w:b/>
        </w:rPr>
      </w:pPr>
    </w:p>
    <w:p w:rsidR="00543B2C" w:rsidRPr="0047370C" w:rsidRDefault="00543B2C" w:rsidP="0054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lang w:val="en-CA" w:eastAsia="en-CA"/>
        </w:rPr>
      </w:pPr>
      <w:r w:rsidRPr="008D3F3A">
        <w:rPr>
          <w:lang w:val="en-CA" w:eastAsia="en-CA"/>
        </w:rPr>
        <w:t xml:space="preserve">de </w:t>
      </w:r>
      <w:r w:rsidRPr="0047370C">
        <w:rPr>
          <w:lang w:val="en-CA" w:eastAsia="en-CA"/>
        </w:rPr>
        <w:t>Greiff</w:t>
      </w:r>
      <w:r w:rsidRPr="008D3F3A">
        <w:rPr>
          <w:lang w:val="en-CA" w:eastAsia="en-CA"/>
        </w:rPr>
        <w:t>, Pablo. “</w:t>
      </w:r>
      <w:r w:rsidRPr="0047370C">
        <w:rPr>
          <w:lang w:val="en-CA" w:eastAsia="en-CA"/>
        </w:rPr>
        <w:t>Chapter 6</w:t>
      </w:r>
      <w:r w:rsidR="00337C43">
        <w:rPr>
          <w:lang w:val="en-CA" w:eastAsia="en-CA"/>
        </w:rPr>
        <w:t xml:space="preserve">: </w:t>
      </w:r>
      <w:r w:rsidRPr="0047370C">
        <w:rPr>
          <w:lang w:val="en-CA" w:eastAsia="en-CA"/>
        </w:rPr>
        <w:t>Truth Telling and the Rule of Law</w:t>
      </w:r>
      <w:r w:rsidRPr="008D3F3A">
        <w:rPr>
          <w:lang w:val="en-CA" w:eastAsia="en-CA"/>
        </w:rPr>
        <w:t xml:space="preserve">.  In </w:t>
      </w:r>
      <w:r w:rsidRPr="008D3F3A">
        <w:rPr>
          <w:i/>
          <w:lang w:val="en-CA" w:eastAsia="en-CA"/>
        </w:rPr>
        <w:t>Telling the Truths</w:t>
      </w:r>
      <w:r w:rsidRPr="008D3F3A">
        <w:rPr>
          <w:lang w:val="en-CA" w:eastAsia="en-CA"/>
        </w:rPr>
        <w:t xml:space="preserve">.  Ed. Tristan Anne Borer.  </w:t>
      </w:r>
      <w:r w:rsidRPr="008D3F3A">
        <w:t>Notre Dame, Ind.: University of Notre Dame Press, 2006.</w:t>
      </w:r>
    </w:p>
    <w:p w:rsidR="00543B2C" w:rsidRPr="008D3F3A" w:rsidRDefault="00543B2C" w:rsidP="00543B2C">
      <w:pPr>
        <w:ind w:left="720"/>
        <w:jc w:val="both"/>
        <w:rPr>
          <w:color w:val="000000"/>
          <w:lang w:val="en-CA" w:eastAsia="en-CA"/>
        </w:rPr>
      </w:pPr>
    </w:p>
    <w:p w:rsidR="009C2BEA" w:rsidRPr="008D3F3A" w:rsidRDefault="0047370C" w:rsidP="008D3F3A">
      <w:pPr>
        <w:ind w:left="720"/>
        <w:jc w:val="both"/>
        <w:rPr>
          <w:color w:val="000000"/>
          <w:lang w:val="en-CA" w:eastAsia="en-CA"/>
        </w:rPr>
      </w:pPr>
      <w:r w:rsidRPr="008D3F3A">
        <w:rPr>
          <w:color w:val="000000"/>
          <w:lang w:val="en-CA" w:eastAsia="en-CA"/>
        </w:rPr>
        <w:t xml:space="preserve">Hayner, Priscilla. “Chapter 7: Truth vs. Justice: Is it a Trade-Off?” In </w:t>
      </w:r>
      <w:r w:rsidRPr="008D3F3A">
        <w:rPr>
          <w:i/>
          <w:iCs/>
          <w:color w:val="000000"/>
          <w:lang w:val="en-CA" w:eastAsia="en-CA"/>
        </w:rPr>
        <w:t xml:space="preserve">Unspeakable Truths.  </w:t>
      </w:r>
      <w:r w:rsidRPr="008D3F3A">
        <w:rPr>
          <w:color w:val="000000"/>
          <w:lang w:val="en-CA" w:eastAsia="en-CA"/>
        </w:rPr>
        <w:t>London: Routledge, 2002.</w:t>
      </w:r>
    </w:p>
    <w:p w:rsidR="0047370C" w:rsidRPr="008D3F3A" w:rsidRDefault="0047370C" w:rsidP="008D3F3A">
      <w:pPr>
        <w:ind w:left="720"/>
        <w:jc w:val="both"/>
        <w:rPr>
          <w:color w:val="000000"/>
          <w:lang w:val="en-CA" w:eastAsia="en-CA"/>
        </w:rPr>
      </w:pPr>
    </w:p>
    <w:p w:rsidR="0047370C" w:rsidRPr="008D3F3A" w:rsidRDefault="0047370C" w:rsidP="008D3F3A">
      <w:pPr>
        <w:ind w:left="720"/>
        <w:jc w:val="both"/>
        <w:rPr>
          <w:color w:val="000000"/>
          <w:lang w:val="en-CA" w:eastAsia="en-CA"/>
        </w:rPr>
      </w:pPr>
      <w:r w:rsidRPr="008D3F3A">
        <w:rPr>
          <w:color w:val="000000"/>
          <w:lang w:val="en-CA" w:eastAsia="en-CA"/>
        </w:rPr>
        <w:t xml:space="preserve">Minow, Martha. “The Hope for Healing: What can truth commissions do?” In </w:t>
      </w:r>
      <w:r w:rsidRPr="008D3F3A">
        <w:rPr>
          <w:i/>
          <w:iCs/>
          <w:color w:val="000000"/>
          <w:lang w:val="en-CA" w:eastAsia="en-CA"/>
        </w:rPr>
        <w:t>Truth v. Justice</w:t>
      </w:r>
      <w:r w:rsidRPr="008D3F3A">
        <w:rPr>
          <w:color w:val="000000"/>
          <w:lang w:val="en-CA" w:eastAsia="en-CA"/>
        </w:rPr>
        <w:t>.  Eds. Robert I. Rotberg and Dennis Thompson.  Princeton: Princeton University Press, 2000, 235-260,</w:t>
      </w:r>
    </w:p>
    <w:p w:rsidR="0047370C" w:rsidRPr="008D3F3A" w:rsidRDefault="0047370C" w:rsidP="008D3F3A">
      <w:pPr>
        <w:ind w:left="720"/>
        <w:jc w:val="both"/>
        <w:rPr>
          <w:color w:val="000000"/>
          <w:lang w:val="en-CA" w:eastAsia="en-CA"/>
        </w:rPr>
      </w:pPr>
    </w:p>
    <w:p w:rsidR="0047370C" w:rsidRPr="008D3F3A" w:rsidRDefault="0047370C" w:rsidP="008D3F3A">
      <w:pPr>
        <w:ind w:left="720"/>
        <w:jc w:val="both"/>
        <w:rPr>
          <w:color w:val="000000"/>
          <w:lang w:val="en-CA" w:eastAsia="en-CA"/>
        </w:rPr>
      </w:pPr>
      <w:r w:rsidRPr="008D3F3A">
        <w:rPr>
          <w:color w:val="000000"/>
          <w:lang w:val="en-CA" w:eastAsia="en-CA"/>
        </w:rPr>
        <w:t>Rotberg, Robert I.  “Truth Commissions and the Provision of Truth, Justice, and Reconciliation.”</w:t>
      </w:r>
      <w:r w:rsidR="00337C43">
        <w:rPr>
          <w:color w:val="000000"/>
          <w:lang w:val="en-CA" w:eastAsia="en-CA"/>
        </w:rPr>
        <w:t xml:space="preserve">  I</w:t>
      </w:r>
      <w:r w:rsidR="00337C43" w:rsidRPr="00B63D86">
        <w:rPr>
          <w:color w:val="000000"/>
          <w:lang w:val="en-CA" w:eastAsia="en-CA"/>
        </w:rPr>
        <w:t xml:space="preserve">n </w:t>
      </w:r>
      <w:r w:rsidR="00337C43" w:rsidRPr="00B63D86">
        <w:rPr>
          <w:i/>
          <w:iCs/>
          <w:color w:val="000000"/>
          <w:lang w:val="en-CA" w:eastAsia="en-CA"/>
        </w:rPr>
        <w:t>Truth v. Justice</w:t>
      </w:r>
      <w:r w:rsidR="00337C43">
        <w:rPr>
          <w:color w:val="000000"/>
          <w:lang w:val="en-CA" w:eastAsia="en-CA"/>
        </w:rPr>
        <w:t>.  Eds</w:t>
      </w:r>
      <w:r w:rsidR="00337C43" w:rsidRPr="00B63D86">
        <w:rPr>
          <w:color w:val="000000"/>
          <w:lang w:val="en-CA" w:eastAsia="en-CA"/>
        </w:rPr>
        <w:t xml:space="preserve">. Robert </w:t>
      </w:r>
      <w:r w:rsidR="00337C43">
        <w:rPr>
          <w:color w:val="000000"/>
          <w:lang w:val="en-CA" w:eastAsia="en-CA"/>
        </w:rPr>
        <w:t xml:space="preserve">I. Rotberg and Dennis Thompson.  </w:t>
      </w:r>
      <w:r w:rsidR="00337C43" w:rsidRPr="00B63D86">
        <w:rPr>
          <w:color w:val="000000"/>
          <w:lang w:val="en-CA" w:eastAsia="en-CA"/>
        </w:rPr>
        <w:t>Princeton: Princeton University Press, 2000</w:t>
      </w:r>
      <w:r w:rsidR="00337C43">
        <w:rPr>
          <w:color w:val="000000"/>
          <w:lang w:val="en-CA" w:eastAsia="en-CA"/>
        </w:rPr>
        <w:t>.</w:t>
      </w:r>
    </w:p>
    <w:p w:rsidR="0047370C" w:rsidRPr="008D3F3A" w:rsidRDefault="0047370C" w:rsidP="008D3F3A">
      <w:pPr>
        <w:ind w:left="720"/>
        <w:jc w:val="both"/>
        <w:rPr>
          <w:color w:val="000000"/>
          <w:lang w:val="en-CA" w:eastAsia="en-CA"/>
        </w:rPr>
      </w:pPr>
    </w:p>
    <w:p w:rsidR="0047370C" w:rsidRPr="008D3F3A" w:rsidRDefault="0047370C" w:rsidP="008D3F3A">
      <w:pPr>
        <w:autoSpaceDE w:val="0"/>
        <w:autoSpaceDN w:val="0"/>
        <w:adjustRightInd w:val="0"/>
        <w:ind w:left="720"/>
        <w:rPr>
          <w:rFonts w:eastAsiaTheme="minorHAnsi"/>
          <w:lang w:val="en-CA"/>
        </w:rPr>
      </w:pPr>
      <w:r w:rsidRPr="008D3F3A">
        <w:rPr>
          <w:rFonts w:eastAsiaTheme="minorHAnsi"/>
          <w:lang w:val="en-CA"/>
        </w:rPr>
        <w:t xml:space="preserve">Wiebelhaus-Brahm, </w:t>
      </w:r>
      <w:r w:rsidR="008D3F3A" w:rsidRPr="008D3F3A">
        <w:rPr>
          <w:rFonts w:eastAsiaTheme="minorHAnsi"/>
          <w:lang w:val="en-CA"/>
        </w:rPr>
        <w:t xml:space="preserve">Eric.  </w:t>
      </w:r>
      <w:r w:rsidRPr="008D3F3A">
        <w:rPr>
          <w:rFonts w:eastAsiaTheme="minorHAnsi"/>
          <w:i/>
          <w:iCs/>
          <w:lang w:val="en-CA"/>
        </w:rPr>
        <w:t xml:space="preserve">Truth Commissions and Transitional Societies: The Impact on Human Rights and </w:t>
      </w:r>
      <w:r w:rsidR="008D3F3A" w:rsidRPr="008D3F3A">
        <w:rPr>
          <w:rFonts w:eastAsiaTheme="minorHAnsi"/>
          <w:i/>
          <w:iCs/>
          <w:lang w:val="en-CA"/>
        </w:rPr>
        <w:t xml:space="preserve">Democracy.  </w:t>
      </w:r>
      <w:r w:rsidRPr="008D3F3A">
        <w:rPr>
          <w:rFonts w:eastAsiaTheme="minorHAnsi"/>
          <w:lang w:val="en-CA"/>
        </w:rPr>
        <w:t>New York: Routledge, 2010</w:t>
      </w:r>
      <w:r w:rsidR="008D3F3A" w:rsidRPr="008D3F3A">
        <w:rPr>
          <w:rFonts w:eastAsiaTheme="minorHAnsi"/>
          <w:lang w:val="en-CA"/>
        </w:rPr>
        <w:t>, chapters 1 and 2.</w:t>
      </w:r>
    </w:p>
    <w:p w:rsidR="008D3F3A" w:rsidRPr="008D3F3A" w:rsidRDefault="008D3F3A" w:rsidP="008D3F3A">
      <w:pPr>
        <w:autoSpaceDE w:val="0"/>
        <w:autoSpaceDN w:val="0"/>
        <w:adjustRightInd w:val="0"/>
        <w:ind w:left="720"/>
        <w:rPr>
          <w:color w:val="000000"/>
          <w:lang w:val="en-CA" w:eastAsia="en-CA"/>
        </w:rPr>
      </w:pPr>
    </w:p>
    <w:p w:rsidR="0047370C" w:rsidRDefault="0047370C" w:rsidP="00916E95">
      <w:pPr>
        <w:jc w:val="both"/>
        <w:rPr>
          <w:b/>
        </w:rPr>
      </w:pPr>
    </w:p>
    <w:p w:rsidR="009C2BEA" w:rsidRDefault="009C2BEA" w:rsidP="00916E95">
      <w:pPr>
        <w:jc w:val="both"/>
        <w:rPr>
          <w:b/>
        </w:rPr>
      </w:pPr>
      <w:r>
        <w:rPr>
          <w:b/>
        </w:rPr>
        <w:t>February 15</w:t>
      </w:r>
      <w:r w:rsidR="00A020D6">
        <w:rPr>
          <w:b/>
        </w:rPr>
        <w:tab/>
        <w:t>Repair</w:t>
      </w:r>
    </w:p>
    <w:p w:rsidR="00A020D6" w:rsidRDefault="00A020D6" w:rsidP="00916E95">
      <w:pPr>
        <w:jc w:val="both"/>
        <w:rPr>
          <w:b/>
        </w:rPr>
      </w:pPr>
    </w:p>
    <w:p w:rsidR="00543B2C" w:rsidRDefault="00543B2C" w:rsidP="00543B2C">
      <w:pPr>
        <w:ind w:left="720"/>
        <w:jc w:val="both"/>
        <w:rPr>
          <w:color w:val="000000"/>
          <w:lang w:val="en-CA" w:eastAsia="en-CA"/>
        </w:rPr>
      </w:pPr>
      <w:r w:rsidRPr="00B63D86">
        <w:rPr>
          <w:color w:val="000000"/>
          <w:lang w:val="en-CA" w:eastAsia="en-CA"/>
        </w:rPr>
        <w:t>Govier, Trudy</w:t>
      </w:r>
      <w:r>
        <w:rPr>
          <w:color w:val="000000"/>
          <w:lang w:val="en-CA" w:eastAsia="en-CA"/>
        </w:rPr>
        <w:t>.</w:t>
      </w:r>
      <w:r w:rsidRPr="00B63D86">
        <w:rPr>
          <w:color w:val="000000"/>
          <w:lang w:val="en-CA" w:eastAsia="en-CA"/>
        </w:rPr>
        <w:t xml:space="preserve"> “Chapter 8: Forgiveness and Reconciliation</w:t>
      </w:r>
      <w:r>
        <w:rPr>
          <w:color w:val="000000"/>
          <w:lang w:val="en-CA" w:eastAsia="en-CA"/>
        </w:rPr>
        <w:t>.</w:t>
      </w:r>
      <w:r w:rsidRPr="00B63D86">
        <w:rPr>
          <w:color w:val="000000"/>
          <w:lang w:val="en-CA" w:eastAsia="en-CA"/>
        </w:rPr>
        <w:t xml:space="preserve">” </w:t>
      </w:r>
      <w:r>
        <w:rPr>
          <w:color w:val="000000"/>
          <w:lang w:val="en-CA" w:eastAsia="en-CA"/>
        </w:rPr>
        <w:t>I</w:t>
      </w:r>
      <w:r w:rsidRPr="00B63D86">
        <w:rPr>
          <w:color w:val="000000"/>
          <w:lang w:val="en-CA" w:eastAsia="en-CA"/>
        </w:rPr>
        <w:t xml:space="preserve">n </w:t>
      </w:r>
      <w:r>
        <w:rPr>
          <w:i/>
          <w:iCs/>
          <w:color w:val="000000"/>
          <w:lang w:val="en-CA" w:eastAsia="en-CA"/>
        </w:rPr>
        <w:t xml:space="preserve">Forgiveness and Revenge.  </w:t>
      </w:r>
      <w:r>
        <w:rPr>
          <w:color w:val="000000"/>
          <w:lang w:val="en-CA" w:eastAsia="en-CA"/>
        </w:rPr>
        <w:t>New York: Routledge, 2002</w:t>
      </w:r>
      <w:r w:rsidRPr="00B63D86">
        <w:rPr>
          <w:color w:val="000000"/>
          <w:lang w:val="en-CA" w:eastAsia="en-CA"/>
        </w:rPr>
        <w:t>, 141-157.</w:t>
      </w:r>
    </w:p>
    <w:p w:rsidR="00543B2C" w:rsidRDefault="00543B2C" w:rsidP="00543B2C">
      <w:pPr>
        <w:ind w:left="720"/>
        <w:jc w:val="both"/>
        <w:rPr>
          <w:color w:val="000000"/>
          <w:lang w:val="en-CA" w:eastAsia="en-CA"/>
        </w:rPr>
      </w:pPr>
    </w:p>
    <w:p w:rsidR="008D3F3A" w:rsidRDefault="006C3479" w:rsidP="006C3479">
      <w:pPr>
        <w:ind w:left="720"/>
        <w:jc w:val="both"/>
        <w:rPr>
          <w:color w:val="000000"/>
          <w:lang w:val="en-CA" w:eastAsia="en-CA"/>
        </w:rPr>
      </w:pPr>
      <w:r w:rsidRPr="00B63D86">
        <w:rPr>
          <w:color w:val="000000"/>
          <w:lang w:val="en-CA" w:eastAsia="en-CA"/>
        </w:rPr>
        <w:t>Minow, Martha</w:t>
      </w:r>
      <w:r>
        <w:rPr>
          <w:color w:val="000000"/>
          <w:lang w:val="en-CA" w:eastAsia="en-CA"/>
        </w:rPr>
        <w:t>.</w:t>
      </w:r>
      <w:r w:rsidRPr="00B63D86">
        <w:rPr>
          <w:color w:val="000000"/>
          <w:lang w:val="en-CA" w:eastAsia="en-CA"/>
        </w:rPr>
        <w:t xml:space="preserve"> “Chapter 5: Reparations</w:t>
      </w:r>
      <w:r>
        <w:rPr>
          <w:color w:val="000000"/>
          <w:lang w:val="en-CA" w:eastAsia="en-CA"/>
        </w:rPr>
        <w:t>.</w:t>
      </w:r>
      <w:r w:rsidRPr="00B63D86">
        <w:rPr>
          <w:color w:val="000000"/>
          <w:lang w:val="en-CA" w:eastAsia="en-CA"/>
        </w:rPr>
        <w:t xml:space="preserve">” </w:t>
      </w:r>
      <w:r>
        <w:rPr>
          <w:color w:val="000000"/>
          <w:lang w:val="en-CA" w:eastAsia="en-CA"/>
        </w:rPr>
        <w:t>I</w:t>
      </w:r>
      <w:r w:rsidRPr="00B63D86">
        <w:rPr>
          <w:color w:val="000000"/>
          <w:lang w:val="en-CA" w:eastAsia="en-CA"/>
        </w:rPr>
        <w:t xml:space="preserve">n </w:t>
      </w:r>
      <w:r w:rsidRPr="00B63D86">
        <w:rPr>
          <w:i/>
          <w:iCs/>
          <w:color w:val="000000"/>
          <w:lang w:val="en-CA" w:eastAsia="en-CA"/>
        </w:rPr>
        <w:t>Be</w:t>
      </w:r>
      <w:r>
        <w:rPr>
          <w:i/>
          <w:iCs/>
          <w:color w:val="000000"/>
          <w:lang w:val="en-CA" w:eastAsia="en-CA"/>
        </w:rPr>
        <w:t xml:space="preserve">tween Vengeance and Forgiveness.  </w:t>
      </w:r>
      <w:r w:rsidRPr="00B63D86">
        <w:rPr>
          <w:color w:val="000000"/>
          <w:lang w:val="en-CA" w:eastAsia="en-CA"/>
        </w:rPr>
        <w:t>Boston: Beacon Press, 1998.</w:t>
      </w:r>
    </w:p>
    <w:p w:rsidR="006C3479" w:rsidRDefault="006C3479" w:rsidP="006C3479">
      <w:pPr>
        <w:ind w:left="720"/>
        <w:jc w:val="both"/>
        <w:rPr>
          <w:color w:val="000000"/>
          <w:lang w:val="en-CA" w:eastAsia="en-CA"/>
        </w:rPr>
      </w:pPr>
    </w:p>
    <w:p w:rsidR="006C3479" w:rsidRDefault="006C3479" w:rsidP="006C3479">
      <w:pPr>
        <w:ind w:left="720"/>
        <w:jc w:val="both"/>
        <w:rPr>
          <w:color w:val="000000"/>
          <w:lang w:val="en-CA" w:eastAsia="en-CA"/>
        </w:rPr>
      </w:pPr>
      <w:r w:rsidRPr="00B63D86">
        <w:rPr>
          <w:color w:val="000000"/>
          <w:lang w:val="en-CA" w:eastAsia="en-CA"/>
        </w:rPr>
        <w:t>Roht-Arriaza, Naomi</w:t>
      </w:r>
      <w:r>
        <w:rPr>
          <w:color w:val="000000"/>
          <w:lang w:val="en-CA" w:eastAsia="en-CA"/>
        </w:rPr>
        <w:t>.</w:t>
      </w:r>
      <w:r w:rsidRPr="00B63D86">
        <w:rPr>
          <w:color w:val="000000"/>
          <w:lang w:val="en-CA" w:eastAsia="en-CA"/>
        </w:rPr>
        <w:t xml:space="preserve"> “Rep</w:t>
      </w:r>
      <w:r>
        <w:rPr>
          <w:color w:val="000000"/>
          <w:lang w:val="en-CA" w:eastAsia="en-CA"/>
        </w:rPr>
        <w:t>arations Decisions and Dilemmas.</w:t>
      </w:r>
      <w:r w:rsidRPr="00B63D86">
        <w:rPr>
          <w:color w:val="000000"/>
          <w:lang w:val="en-CA" w:eastAsia="en-CA"/>
        </w:rPr>
        <w:t xml:space="preserve">” </w:t>
      </w:r>
      <w:r w:rsidRPr="00B63D86">
        <w:rPr>
          <w:i/>
          <w:iCs/>
          <w:color w:val="000000"/>
          <w:lang w:val="en-CA" w:eastAsia="en-CA"/>
        </w:rPr>
        <w:t xml:space="preserve">Hastings International and Comparative Law Review </w:t>
      </w:r>
      <w:r w:rsidRPr="00B63D86">
        <w:rPr>
          <w:color w:val="000000"/>
          <w:lang w:val="en-CA" w:eastAsia="en-CA"/>
        </w:rPr>
        <w:t>27.2 (2003-2004)</w:t>
      </w:r>
      <w:r>
        <w:rPr>
          <w:color w:val="000000"/>
          <w:lang w:val="en-CA" w:eastAsia="en-CA"/>
        </w:rPr>
        <w:t>:</w:t>
      </w:r>
      <w:r w:rsidRPr="00B63D86">
        <w:rPr>
          <w:color w:val="000000"/>
          <w:lang w:val="en-CA" w:eastAsia="en-CA"/>
        </w:rPr>
        <w:t xml:space="preserve"> 157-220</w:t>
      </w:r>
      <w:r>
        <w:rPr>
          <w:color w:val="000000"/>
          <w:lang w:val="en-CA" w:eastAsia="en-CA"/>
        </w:rPr>
        <w:t>.</w:t>
      </w:r>
    </w:p>
    <w:p w:rsidR="006C3479" w:rsidRDefault="006C3479" w:rsidP="006C3479">
      <w:pPr>
        <w:ind w:left="720"/>
        <w:jc w:val="both"/>
        <w:rPr>
          <w:color w:val="000000"/>
          <w:lang w:val="en-CA" w:eastAsia="en-CA"/>
        </w:rPr>
      </w:pPr>
    </w:p>
    <w:p w:rsidR="006C3479" w:rsidRPr="005E0B03" w:rsidRDefault="006C3479" w:rsidP="006C3479">
      <w:pPr>
        <w:pStyle w:val="Title"/>
        <w:ind w:left="720"/>
        <w:jc w:val="left"/>
        <w:rPr>
          <w:color w:val="000000"/>
        </w:rPr>
      </w:pPr>
      <w:r w:rsidRPr="005E0B03">
        <w:rPr>
          <w:color w:val="000000"/>
        </w:rPr>
        <w:t>Rudd, Kevin</w:t>
      </w:r>
      <w:r>
        <w:rPr>
          <w:color w:val="000000"/>
        </w:rPr>
        <w:t>.</w:t>
      </w:r>
      <w:r w:rsidRPr="005E0B03">
        <w:rPr>
          <w:color w:val="000000"/>
        </w:rPr>
        <w:t xml:space="preserve"> “Apology to Australia’s Indigenous Peoples</w:t>
      </w:r>
      <w:r>
        <w:rPr>
          <w:color w:val="000000"/>
        </w:rPr>
        <w:t>.</w:t>
      </w:r>
      <w:r w:rsidRPr="005E0B03">
        <w:rPr>
          <w:color w:val="000000"/>
        </w:rPr>
        <w:t xml:space="preserve">” Parliament of Australia, </w:t>
      </w:r>
      <w:r w:rsidRPr="005E0B03">
        <w:rPr>
          <w:i/>
          <w:color w:val="000000"/>
        </w:rPr>
        <w:t>House Hansard</w:t>
      </w:r>
      <w:r>
        <w:rPr>
          <w:color w:val="000000"/>
        </w:rPr>
        <w:t>, 13 Feb. 2008.</w:t>
      </w:r>
      <w:r w:rsidRPr="005E0B03">
        <w:rPr>
          <w:color w:val="000000"/>
        </w:rPr>
        <w:t xml:space="preserve"> 167-177</w:t>
      </w:r>
      <w:r>
        <w:rPr>
          <w:color w:val="000000"/>
        </w:rPr>
        <w:t>.  A</w:t>
      </w:r>
      <w:r w:rsidRPr="005E0B03">
        <w:rPr>
          <w:color w:val="000000"/>
        </w:rPr>
        <w:t>vailable from http://parlinfo.aph.gov.au/parlInfo/download/chamber/hansardr/2008-02-13/toc_pdf/5694-9.pdf;fileType=appli</w:t>
      </w:r>
      <w:r>
        <w:rPr>
          <w:color w:val="000000"/>
        </w:rPr>
        <w:t>cation%2Fpdf#search=%2283T))%22.</w:t>
      </w:r>
    </w:p>
    <w:p w:rsidR="006C3479" w:rsidRDefault="006C3479" w:rsidP="006C3479">
      <w:pPr>
        <w:ind w:firstLine="720"/>
        <w:jc w:val="both"/>
        <w:rPr>
          <w:b/>
        </w:rPr>
      </w:pPr>
    </w:p>
    <w:p w:rsidR="009C2BEA" w:rsidRDefault="009C2BEA" w:rsidP="00916E95">
      <w:pPr>
        <w:jc w:val="both"/>
        <w:rPr>
          <w:b/>
        </w:rPr>
      </w:pPr>
    </w:p>
    <w:p w:rsidR="009C2BEA" w:rsidRDefault="009C2BEA" w:rsidP="00916E95">
      <w:pPr>
        <w:jc w:val="both"/>
        <w:rPr>
          <w:b/>
        </w:rPr>
      </w:pPr>
      <w:r>
        <w:rPr>
          <w:b/>
        </w:rPr>
        <w:t>February 22</w:t>
      </w:r>
      <w:r>
        <w:rPr>
          <w:b/>
        </w:rPr>
        <w:tab/>
        <w:t>NO CLASS—READING WEEK</w:t>
      </w:r>
    </w:p>
    <w:p w:rsidR="009C2BEA" w:rsidRDefault="009C2BEA" w:rsidP="00916E95">
      <w:pPr>
        <w:jc w:val="both"/>
        <w:rPr>
          <w:b/>
        </w:rPr>
      </w:pPr>
    </w:p>
    <w:p w:rsidR="00A020D6" w:rsidRDefault="00A020D6" w:rsidP="00916E95">
      <w:pPr>
        <w:jc w:val="both"/>
        <w:rPr>
          <w:b/>
        </w:rPr>
      </w:pPr>
    </w:p>
    <w:p w:rsidR="009C2BEA" w:rsidRDefault="009C2BEA" w:rsidP="00916E95">
      <w:pPr>
        <w:jc w:val="both"/>
        <w:rPr>
          <w:b/>
        </w:rPr>
      </w:pPr>
      <w:r>
        <w:rPr>
          <w:b/>
        </w:rPr>
        <w:t>March 01</w:t>
      </w:r>
      <w:r w:rsidR="00A020D6">
        <w:rPr>
          <w:b/>
        </w:rPr>
        <w:tab/>
        <w:t>Gender</w:t>
      </w:r>
    </w:p>
    <w:p w:rsidR="009C2BEA" w:rsidRDefault="009C2BEA" w:rsidP="00916E95">
      <w:pPr>
        <w:jc w:val="both"/>
        <w:rPr>
          <w:b/>
        </w:rPr>
      </w:pPr>
    </w:p>
    <w:p w:rsidR="00547889" w:rsidRPr="00335D62" w:rsidRDefault="00547889" w:rsidP="00D5692D">
      <w:pPr>
        <w:ind w:left="720"/>
      </w:pPr>
      <w:r w:rsidRPr="00335D62">
        <w:t>Bell, Christine and Catherine O’Rourke, “Does Feminism Need a Theory of Transitional Justice? An Introductory Essay</w:t>
      </w:r>
      <w:r w:rsidR="0079135E">
        <w:t>.</w:t>
      </w:r>
      <w:r w:rsidRPr="00335D62">
        <w:t xml:space="preserve">” </w:t>
      </w:r>
      <w:r w:rsidRPr="00335D62">
        <w:rPr>
          <w:i/>
        </w:rPr>
        <w:t>International Journal of Transitional Justice</w:t>
      </w:r>
      <w:r w:rsidRPr="00335D62">
        <w:rPr>
          <w:i/>
          <w:iCs/>
        </w:rPr>
        <w:t xml:space="preserve"> </w:t>
      </w:r>
      <w:r w:rsidRPr="00335D62">
        <w:t>1 (2007): 23-44.</w:t>
      </w:r>
    </w:p>
    <w:p w:rsidR="00547889" w:rsidRDefault="00547889" w:rsidP="00D5692D">
      <w:pPr>
        <w:jc w:val="both"/>
        <w:rPr>
          <w:b/>
        </w:rPr>
      </w:pPr>
    </w:p>
    <w:p w:rsidR="00547889" w:rsidRPr="00335D62" w:rsidRDefault="00547889" w:rsidP="00D5692D">
      <w:pPr>
        <w:ind w:left="720"/>
      </w:pPr>
      <w:r w:rsidRPr="00335D62">
        <w:t xml:space="preserve">Hamber Brandon. “Masculinity and Transitional Justice: An Exploratory Essay.” </w:t>
      </w:r>
      <w:r w:rsidRPr="00335D62">
        <w:rPr>
          <w:i/>
          <w:iCs/>
        </w:rPr>
        <w:t xml:space="preserve">International Journal of Transitional Justice </w:t>
      </w:r>
      <w:r w:rsidRPr="00335D62">
        <w:t xml:space="preserve">1.3 (2007): 375-90. </w:t>
      </w:r>
    </w:p>
    <w:p w:rsidR="00547889" w:rsidRDefault="00547889" w:rsidP="00D5692D">
      <w:pPr>
        <w:jc w:val="both"/>
        <w:rPr>
          <w:b/>
        </w:rPr>
      </w:pPr>
    </w:p>
    <w:p w:rsidR="00547889" w:rsidRPr="00335D62" w:rsidRDefault="00547889" w:rsidP="00D5692D">
      <w:pPr>
        <w:ind w:left="720"/>
        <w:rPr>
          <w:color w:val="000000"/>
        </w:rPr>
      </w:pPr>
      <w:r w:rsidRPr="00335D62">
        <w:t xml:space="preserve">Nagy, Rosemary.  </w:t>
      </w:r>
      <w:r w:rsidRPr="00335D62">
        <w:rPr>
          <w:color w:val="000000"/>
        </w:rPr>
        <w:t>"Transitional Justice as Global Project: Critical Reflections," Third World Quarterly 29, no. 2 (2008): 275-289.</w:t>
      </w:r>
    </w:p>
    <w:p w:rsidR="00547889" w:rsidRDefault="00547889" w:rsidP="00D5692D">
      <w:pPr>
        <w:jc w:val="both"/>
        <w:rPr>
          <w:b/>
        </w:rPr>
      </w:pPr>
    </w:p>
    <w:p w:rsidR="00547889" w:rsidRDefault="00547889" w:rsidP="00D5692D">
      <w:pPr>
        <w:autoSpaceDE w:val="0"/>
        <w:autoSpaceDN w:val="0"/>
        <w:adjustRightInd w:val="0"/>
        <w:ind w:left="720"/>
        <w:rPr>
          <w:rFonts w:eastAsiaTheme="minorHAnsi"/>
          <w:lang w:val="en-CA"/>
        </w:rPr>
      </w:pPr>
      <w:r w:rsidRPr="00547889">
        <w:t>Ní Aoláin, Fionnuala.  “</w:t>
      </w:r>
      <w:r w:rsidRPr="00547889">
        <w:rPr>
          <w:rFonts w:eastAsiaTheme="minorHAnsi"/>
          <w:lang w:val="en-CA"/>
        </w:rPr>
        <w:t>Advancing Feminist Positioning in the</w:t>
      </w:r>
      <w:r>
        <w:rPr>
          <w:rFonts w:eastAsiaTheme="minorHAnsi"/>
          <w:lang w:val="en-CA"/>
        </w:rPr>
        <w:t xml:space="preserve"> </w:t>
      </w:r>
      <w:r w:rsidRPr="00547889">
        <w:rPr>
          <w:rFonts w:eastAsiaTheme="minorHAnsi"/>
          <w:lang w:val="en-CA"/>
        </w:rPr>
        <w:t xml:space="preserve">Field of Transitional Justice.” </w:t>
      </w:r>
      <w:r w:rsidRPr="00547889">
        <w:rPr>
          <w:rFonts w:eastAsiaTheme="minorHAnsi"/>
          <w:i/>
          <w:lang w:val="en-CA"/>
        </w:rPr>
        <w:t>International Journal of Transitional Justice</w:t>
      </w:r>
      <w:r w:rsidRPr="00547889">
        <w:rPr>
          <w:rFonts w:eastAsiaTheme="minorHAnsi"/>
          <w:lang w:val="en-CA"/>
        </w:rPr>
        <w:t xml:space="preserve"> 6.2 (2012): 205–228.</w:t>
      </w:r>
    </w:p>
    <w:p w:rsidR="00D5692D" w:rsidRPr="00547889" w:rsidRDefault="00D5692D" w:rsidP="00D5692D">
      <w:pPr>
        <w:autoSpaceDE w:val="0"/>
        <w:autoSpaceDN w:val="0"/>
        <w:adjustRightInd w:val="0"/>
        <w:ind w:left="720"/>
        <w:rPr>
          <w:b/>
        </w:rPr>
      </w:pPr>
    </w:p>
    <w:p w:rsidR="00A020D6" w:rsidRDefault="00A020D6" w:rsidP="00916E95">
      <w:pPr>
        <w:jc w:val="both"/>
        <w:rPr>
          <w:b/>
        </w:rPr>
      </w:pPr>
    </w:p>
    <w:p w:rsidR="009C2BEA" w:rsidRDefault="009C2BEA" w:rsidP="00A020D6">
      <w:pPr>
        <w:jc w:val="both"/>
        <w:rPr>
          <w:b/>
        </w:rPr>
      </w:pPr>
      <w:r>
        <w:rPr>
          <w:b/>
        </w:rPr>
        <w:t>March 08</w:t>
      </w:r>
      <w:r w:rsidR="00A020D6">
        <w:rPr>
          <w:b/>
        </w:rPr>
        <w:tab/>
        <w:t>Development</w:t>
      </w:r>
    </w:p>
    <w:p w:rsidR="00A020D6" w:rsidRDefault="00A020D6" w:rsidP="00A020D6">
      <w:pPr>
        <w:jc w:val="both"/>
        <w:rPr>
          <w:b/>
        </w:rPr>
      </w:pPr>
    </w:p>
    <w:p w:rsidR="00543B2C" w:rsidRPr="00335D62" w:rsidRDefault="00543B2C" w:rsidP="00543B2C">
      <w:pPr>
        <w:ind w:left="720"/>
      </w:pPr>
      <w:r w:rsidRPr="00335D62">
        <w:t>Duthie, Roger. “Toward a Development Sensitive Approach to TJ</w:t>
      </w:r>
      <w:r w:rsidR="0079135E">
        <w:t>.</w:t>
      </w:r>
      <w:r w:rsidRPr="00335D62">
        <w:t xml:space="preserve">” </w:t>
      </w:r>
      <w:r w:rsidRPr="00335D62">
        <w:rPr>
          <w:i/>
        </w:rPr>
        <w:t>International Journal of Transitional Justice</w:t>
      </w:r>
      <w:r w:rsidRPr="00335D62">
        <w:t xml:space="preserve"> 2.3 (2008): 292-309.</w:t>
      </w:r>
    </w:p>
    <w:p w:rsidR="00543B2C" w:rsidRDefault="00543B2C" w:rsidP="00543B2C">
      <w:pPr>
        <w:ind w:left="720"/>
      </w:pPr>
    </w:p>
    <w:p w:rsidR="00543B2C" w:rsidRDefault="00543B2C" w:rsidP="00543B2C">
      <w:pPr>
        <w:ind w:left="720"/>
      </w:pPr>
      <w:r w:rsidRPr="00335D62">
        <w:t xml:space="preserve">Laplante, Lisa J. “Transitional Justice and Peace Building: Diagnosing and Addressing the Socioeconomic Roots of Violence through a Human Rights Framework,” </w:t>
      </w:r>
      <w:r w:rsidRPr="00335D62">
        <w:rPr>
          <w:i/>
        </w:rPr>
        <w:t>International Journal of Transitional Justice</w:t>
      </w:r>
      <w:r w:rsidRPr="00335D62">
        <w:t xml:space="preserve"> 2.3 (2008): 331-355.</w:t>
      </w:r>
    </w:p>
    <w:p w:rsidR="00543B2C" w:rsidRDefault="00543B2C" w:rsidP="00543B2C">
      <w:pPr>
        <w:ind w:left="720"/>
      </w:pPr>
    </w:p>
    <w:p w:rsidR="00D5692D" w:rsidRDefault="00D5692D" w:rsidP="00D5692D">
      <w:pPr>
        <w:ind w:left="720"/>
      </w:pPr>
      <w:r w:rsidRPr="00335D62">
        <w:t xml:space="preserve">Mani, Rama. “Dilemmas of Expanding Transitional Justice, or Forging the Nexus between Transitional Justice and Development,” </w:t>
      </w:r>
      <w:r w:rsidRPr="00335D62">
        <w:rPr>
          <w:i/>
        </w:rPr>
        <w:t>International Journal of Transitional Justice</w:t>
      </w:r>
      <w:r w:rsidRPr="00335D62">
        <w:t xml:space="preserve"> 2.3 (2008): 253-265.</w:t>
      </w:r>
    </w:p>
    <w:p w:rsidR="00D5692D" w:rsidRPr="00335D62" w:rsidRDefault="00D5692D" w:rsidP="00D5692D">
      <w:pPr>
        <w:ind w:left="720"/>
      </w:pPr>
    </w:p>
    <w:p w:rsidR="00D5692D" w:rsidRDefault="00D5692D" w:rsidP="00D5692D">
      <w:pPr>
        <w:ind w:left="720"/>
      </w:pPr>
      <w:r w:rsidRPr="00335D62">
        <w:t xml:space="preserve">Miller, Zinaida. “Effects of Invisibility: In Search of the ‘Economic’ in Transitional Justice,” </w:t>
      </w:r>
      <w:r w:rsidRPr="00335D62">
        <w:rPr>
          <w:i/>
        </w:rPr>
        <w:t>International Journal of Transitional Justice</w:t>
      </w:r>
      <w:r w:rsidRPr="00335D62">
        <w:t xml:space="preserve"> 2.3 (2008): 266-291.</w:t>
      </w:r>
    </w:p>
    <w:p w:rsidR="00D5692D" w:rsidRDefault="00D5692D" w:rsidP="00D5692D">
      <w:pPr>
        <w:ind w:left="720"/>
      </w:pPr>
    </w:p>
    <w:p w:rsidR="00D5692D" w:rsidRPr="00335D62" w:rsidRDefault="00D5692D" w:rsidP="00D5692D">
      <w:pPr>
        <w:ind w:left="720"/>
      </w:pPr>
      <w:r w:rsidRPr="00335D62">
        <w:t>Orlovsky, Kate and Naomi Roht-Arriaza</w:t>
      </w:r>
      <w:r w:rsidR="004618E0">
        <w:t>.</w:t>
      </w:r>
      <w:r w:rsidRPr="00335D62">
        <w:t xml:space="preserve"> “Reparations and Development</w:t>
      </w:r>
      <w:r w:rsidR="004618E0">
        <w:t>.</w:t>
      </w:r>
      <w:r w:rsidRPr="00335D62">
        <w:t xml:space="preserve">” </w:t>
      </w:r>
      <w:r w:rsidR="004618E0">
        <w:t>A</w:t>
      </w:r>
      <w:r w:rsidRPr="00335D62">
        <w:t xml:space="preserve"> paper presented at the </w:t>
      </w:r>
      <w:r w:rsidR="004618E0">
        <w:t>ISA Annual Meeting</w:t>
      </w:r>
      <w:r w:rsidRPr="00335D62">
        <w:t>, 2009.</w:t>
      </w:r>
    </w:p>
    <w:p w:rsidR="00D5692D" w:rsidRPr="00335D62" w:rsidRDefault="00D5692D" w:rsidP="00D5692D">
      <w:pPr>
        <w:ind w:left="720" w:hanging="720"/>
      </w:pPr>
    </w:p>
    <w:p w:rsidR="00D5692D" w:rsidRPr="00335D62" w:rsidRDefault="00D5692D" w:rsidP="00D5692D">
      <w:pPr>
        <w:ind w:left="720" w:hanging="720"/>
      </w:pPr>
    </w:p>
    <w:p w:rsidR="009C2BEA" w:rsidRDefault="009C2BEA" w:rsidP="00916E95">
      <w:pPr>
        <w:jc w:val="both"/>
        <w:rPr>
          <w:b/>
        </w:rPr>
      </w:pPr>
    </w:p>
    <w:p w:rsidR="009C2BEA" w:rsidRDefault="009C2BEA" w:rsidP="00543B2C">
      <w:pPr>
        <w:rPr>
          <w:b/>
        </w:rPr>
      </w:pPr>
      <w:r>
        <w:rPr>
          <w:b/>
        </w:rPr>
        <w:t>March 15</w:t>
      </w:r>
      <w:r w:rsidR="00A020D6">
        <w:rPr>
          <w:b/>
        </w:rPr>
        <w:tab/>
        <w:t>Roads to Reconciliation</w:t>
      </w:r>
    </w:p>
    <w:p w:rsidR="00A020D6" w:rsidRDefault="00A020D6" w:rsidP="00916E95">
      <w:pPr>
        <w:jc w:val="both"/>
        <w:rPr>
          <w:b/>
        </w:rPr>
      </w:pPr>
    </w:p>
    <w:p w:rsidR="00543B2C" w:rsidRPr="00543B2C" w:rsidRDefault="00543B2C" w:rsidP="00543B2C">
      <w:pPr>
        <w:pStyle w:val="FootnoteText"/>
        <w:ind w:left="720"/>
        <w:rPr>
          <w:sz w:val="24"/>
          <w:szCs w:val="24"/>
        </w:rPr>
      </w:pPr>
      <w:r>
        <w:rPr>
          <w:sz w:val="24"/>
          <w:szCs w:val="24"/>
        </w:rPr>
        <w:t xml:space="preserve">Dwyer, Susan.  “Reconciliation for Realists.” In </w:t>
      </w:r>
      <w:r>
        <w:rPr>
          <w:i/>
          <w:sz w:val="24"/>
          <w:szCs w:val="24"/>
        </w:rPr>
        <w:t>Dilemmas of Reconciliation: Cases and Concepts</w:t>
      </w:r>
      <w:r>
        <w:rPr>
          <w:sz w:val="24"/>
          <w:szCs w:val="24"/>
        </w:rPr>
        <w:t>.  Eds. Carol A.L. Prager and Trudy Govier.  Waterloo: Wilfrid Laurier University Press, 2003.</w:t>
      </w:r>
    </w:p>
    <w:p w:rsidR="00543B2C" w:rsidRDefault="00543B2C" w:rsidP="00D5692D">
      <w:pPr>
        <w:pStyle w:val="FootnoteText"/>
        <w:ind w:left="720"/>
        <w:rPr>
          <w:sz w:val="24"/>
          <w:szCs w:val="24"/>
        </w:rPr>
      </w:pPr>
    </w:p>
    <w:p w:rsidR="00D5692D" w:rsidRPr="00335D62" w:rsidRDefault="00D5692D" w:rsidP="00D5692D">
      <w:pPr>
        <w:pStyle w:val="FootnoteText"/>
        <w:ind w:left="720"/>
        <w:rPr>
          <w:sz w:val="24"/>
          <w:szCs w:val="24"/>
        </w:rPr>
      </w:pPr>
      <w:r w:rsidRPr="00335D62">
        <w:rPr>
          <w:sz w:val="24"/>
          <w:szCs w:val="24"/>
        </w:rPr>
        <w:t xml:space="preserve">Huyse, Luc, Priscilla Hayner, Brandon Hamber.  </w:t>
      </w:r>
      <w:r w:rsidRPr="00335D62">
        <w:rPr>
          <w:i/>
          <w:iCs/>
          <w:sz w:val="24"/>
          <w:szCs w:val="24"/>
        </w:rPr>
        <w:t>International IDEA Handbook on Reconciliation After Violent Conflict</w:t>
      </w:r>
      <w:r w:rsidRPr="00335D62">
        <w:rPr>
          <w:sz w:val="24"/>
          <w:szCs w:val="24"/>
        </w:rPr>
        <w:t>.  Eds. Stef Vandeginste, David Bloomfeld, Teresa Barnes, Desmond Tutu.   Stockholm: International IDEA, 2003.</w:t>
      </w:r>
      <w:r w:rsidRPr="00335D62">
        <w:rPr>
          <w:color w:val="008000"/>
          <w:sz w:val="24"/>
          <w:szCs w:val="24"/>
        </w:rPr>
        <w:t xml:space="preserve">  </w:t>
      </w:r>
      <w:r w:rsidRPr="00335D62">
        <w:rPr>
          <w:sz w:val="24"/>
          <w:szCs w:val="24"/>
        </w:rPr>
        <w:t>Available from</w:t>
      </w:r>
      <w:r w:rsidRPr="00335D62">
        <w:rPr>
          <w:color w:val="008000"/>
          <w:sz w:val="24"/>
          <w:szCs w:val="24"/>
        </w:rPr>
        <w:t xml:space="preserve"> </w:t>
      </w:r>
      <w:r w:rsidRPr="00335D62">
        <w:rPr>
          <w:sz w:val="24"/>
          <w:szCs w:val="24"/>
        </w:rPr>
        <w:t>http://www.idea.int/publications/reconciliation/upload/reconciliation_full.pdf</w:t>
      </w:r>
    </w:p>
    <w:p w:rsidR="00D5692D" w:rsidRDefault="00D5692D" w:rsidP="00D5692D">
      <w:pPr>
        <w:pStyle w:val="FootnoteText"/>
        <w:ind w:left="720"/>
        <w:rPr>
          <w:sz w:val="24"/>
          <w:szCs w:val="24"/>
        </w:rPr>
      </w:pPr>
    </w:p>
    <w:p w:rsidR="00D5692D" w:rsidRDefault="00D5692D" w:rsidP="00D5692D">
      <w:pPr>
        <w:pStyle w:val="FootnoteText"/>
        <w:ind w:left="720"/>
        <w:rPr>
          <w:sz w:val="24"/>
          <w:szCs w:val="24"/>
        </w:rPr>
      </w:pPr>
      <w:r w:rsidRPr="00D5692D">
        <w:rPr>
          <w:sz w:val="24"/>
          <w:szCs w:val="24"/>
        </w:rPr>
        <w:t xml:space="preserve">Quinn, Joanna R. “What of Reconciliation? Traditional Mechanisms of </w:t>
      </w:r>
      <w:r w:rsidR="00543B2C">
        <w:rPr>
          <w:sz w:val="24"/>
          <w:szCs w:val="24"/>
        </w:rPr>
        <w:t>A</w:t>
      </w:r>
      <w:r w:rsidRPr="00D5692D">
        <w:rPr>
          <w:sz w:val="24"/>
          <w:szCs w:val="24"/>
        </w:rPr>
        <w:t xml:space="preserve">cknowledgement in Uganda.” In  </w:t>
      </w:r>
      <w:r w:rsidRPr="00D5692D">
        <w:rPr>
          <w:i/>
          <w:iCs/>
          <w:sz w:val="24"/>
          <w:szCs w:val="24"/>
        </w:rPr>
        <w:t>Reconciliation(s): Transitional Justice in Postconflict Societies</w:t>
      </w:r>
      <w:r w:rsidRPr="00D5692D">
        <w:rPr>
          <w:sz w:val="24"/>
          <w:szCs w:val="24"/>
        </w:rPr>
        <w:t>.  Ed. Joanna R. Quinn.  Montreal: McGill-Queen’s University Press, 2009.</w:t>
      </w:r>
    </w:p>
    <w:p w:rsidR="00543B2C" w:rsidRDefault="00543B2C" w:rsidP="00D5692D">
      <w:pPr>
        <w:pStyle w:val="FootnoteText"/>
        <w:ind w:left="720"/>
        <w:rPr>
          <w:sz w:val="24"/>
          <w:szCs w:val="24"/>
        </w:rPr>
      </w:pPr>
    </w:p>
    <w:p w:rsidR="00543B2C" w:rsidRDefault="00543B2C" w:rsidP="00543B2C">
      <w:pPr>
        <w:pStyle w:val="FootnoteText"/>
        <w:ind w:left="720"/>
        <w:rPr>
          <w:sz w:val="24"/>
          <w:szCs w:val="24"/>
        </w:rPr>
      </w:pPr>
      <w:r w:rsidRPr="00335D62">
        <w:rPr>
          <w:sz w:val="24"/>
          <w:szCs w:val="24"/>
        </w:rPr>
        <w:t>Sk</w:t>
      </w:r>
      <w:r w:rsidR="00D724B0">
        <w:rPr>
          <w:sz w:val="24"/>
          <w:szCs w:val="24"/>
        </w:rPr>
        <w:t>a</w:t>
      </w:r>
      <w:r w:rsidRPr="00335D62">
        <w:rPr>
          <w:sz w:val="24"/>
          <w:szCs w:val="24"/>
        </w:rPr>
        <w:t xml:space="preserve">ar, Elin, Siri Gloppen, and Astri Suhrke, eds.  </w:t>
      </w:r>
      <w:r w:rsidRPr="00335D62">
        <w:rPr>
          <w:i/>
          <w:iCs/>
          <w:sz w:val="24"/>
          <w:szCs w:val="24"/>
        </w:rPr>
        <w:t>Roads to Reconciliation</w:t>
      </w:r>
      <w:r w:rsidRPr="00335D62">
        <w:rPr>
          <w:sz w:val="24"/>
          <w:szCs w:val="24"/>
        </w:rPr>
        <w:t>.  Lexington Books, 2005</w:t>
      </w:r>
      <w:r>
        <w:rPr>
          <w:sz w:val="24"/>
          <w:szCs w:val="24"/>
        </w:rPr>
        <w:t>, chapter 3</w:t>
      </w:r>
      <w:r w:rsidRPr="00335D62">
        <w:rPr>
          <w:sz w:val="24"/>
          <w:szCs w:val="24"/>
        </w:rPr>
        <w:t>.</w:t>
      </w:r>
    </w:p>
    <w:p w:rsidR="00543B2C" w:rsidRDefault="00543B2C" w:rsidP="00543B2C">
      <w:pPr>
        <w:pStyle w:val="FootnoteText"/>
        <w:ind w:left="720"/>
        <w:rPr>
          <w:sz w:val="24"/>
          <w:szCs w:val="24"/>
        </w:rPr>
      </w:pPr>
    </w:p>
    <w:p w:rsidR="00D5692D" w:rsidRPr="00D5692D" w:rsidRDefault="00D5692D" w:rsidP="00D5692D">
      <w:pPr>
        <w:jc w:val="both"/>
        <w:rPr>
          <w:b/>
        </w:rPr>
      </w:pPr>
    </w:p>
    <w:p w:rsidR="009C2BEA" w:rsidRPr="00D5692D" w:rsidRDefault="009C2BEA" w:rsidP="00916E95">
      <w:pPr>
        <w:jc w:val="both"/>
        <w:rPr>
          <w:b/>
        </w:rPr>
      </w:pPr>
    </w:p>
    <w:p w:rsidR="009C2BEA" w:rsidRDefault="009C2BEA" w:rsidP="00916E95">
      <w:pPr>
        <w:jc w:val="both"/>
        <w:rPr>
          <w:b/>
        </w:rPr>
      </w:pPr>
      <w:r>
        <w:rPr>
          <w:b/>
        </w:rPr>
        <w:t>March 22</w:t>
      </w:r>
      <w:r w:rsidR="00A020D6">
        <w:rPr>
          <w:b/>
        </w:rPr>
        <w:tab/>
        <w:t>Measuring Effectiveness</w:t>
      </w:r>
    </w:p>
    <w:p w:rsidR="00A020D6" w:rsidRDefault="00A020D6" w:rsidP="00916E95">
      <w:pPr>
        <w:jc w:val="both"/>
        <w:rPr>
          <w:b/>
        </w:rPr>
      </w:pPr>
    </w:p>
    <w:p w:rsidR="00543B2C" w:rsidRPr="00335D62" w:rsidRDefault="00543B2C" w:rsidP="00543B2C">
      <w:pPr>
        <w:autoSpaceDE w:val="0"/>
        <w:autoSpaceDN w:val="0"/>
        <w:adjustRightInd w:val="0"/>
        <w:ind w:left="720"/>
      </w:pPr>
      <w:r w:rsidRPr="00335D62">
        <w:t>Kim, Hunjoon and Kathryn Sikkink</w:t>
      </w:r>
      <w:r w:rsidR="004618E0">
        <w:t>.</w:t>
      </w:r>
      <w:r w:rsidRPr="00335D62">
        <w:t xml:space="preserve"> “Explaining the Deterrence Effect of Human Rights Prosecutions for Transitional Countries</w:t>
      </w:r>
      <w:r w:rsidR="004618E0">
        <w:t>.</w:t>
      </w:r>
      <w:r w:rsidRPr="00335D62">
        <w:t xml:space="preserve">” </w:t>
      </w:r>
      <w:r w:rsidRPr="00335D62">
        <w:rPr>
          <w:i/>
        </w:rPr>
        <w:t>International Studies Quarterly</w:t>
      </w:r>
      <w:r w:rsidRPr="00335D62">
        <w:t xml:space="preserve"> 54 (2010): 939-963.</w:t>
      </w:r>
    </w:p>
    <w:p w:rsidR="00543B2C" w:rsidRDefault="00543B2C" w:rsidP="00543B2C">
      <w:pPr>
        <w:autoSpaceDE w:val="0"/>
        <w:autoSpaceDN w:val="0"/>
        <w:adjustRightInd w:val="0"/>
        <w:ind w:left="720"/>
      </w:pPr>
    </w:p>
    <w:p w:rsidR="00543B2C" w:rsidRPr="004618E0" w:rsidRDefault="00543B2C" w:rsidP="00543B2C">
      <w:pPr>
        <w:autoSpaceDE w:val="0"/>
        <w:autoSpaceDN w:val="0"/>
        <w:adjustRightInd w:val="0"/>
        <w:ind w:left="720"/>
      </w:pPr>
      <w:r w:rsidRPr="004618E0">
        <w:t xml:space="preserve">Olsen, Tricia, Leigh Payne, and Andrew Reiter.  </w:t>
      </w:r>
      <w:r w:rsidR="004618E0" w:rsidRPr="004618E0">
        <w:t xml:space="preserve">“Does Transitional Justice Work?”  In </w:t>
      </w:r>
      <w:r w:rsidRPr="004618E0">
        <w:rPr>
          <w:i/>
        </w:rPr>
        <w:t>Transitional Justice in Balance: Comparing processes, weighing efficacy</w:t>
      </w:r>
      <w:r w:rsidRPr="004618E0">
        <w:t>.  Washington: USIP, 2010.</w:t>
      </w:r>
    </w:p>
    <w:p w:rsidR="00543B2C" w:rsidRDefault="00543B2C" w:rsidP="00543B2C">
      <w:pPr>
        <w:autoSpaceDE w:val="0"/>
        <w:autoSpaceDN w:val="0"/>
        <w:adjustRightInd w:val="0"/>
        <w:rPr>
          <w:rFonts w:ascii="TimesNewRomanPSMT" w:eastAsiaTheme="minorHAnsi" w:hAnsi="TimesNewRomanPSMT" w:cs="TimesNewRomanPSMT"/>
          <w:sz w:val="20"/>
          <w:szCs w:val="20"/>
          <w:lang w:val="en-CA"/>
        </w:rPr>
      </w:pPr>
    </w:p>
    <w:p w:rsidR="00543B2C" w:rsidRPr="00335D62" w:rsidRDefault="00543B2C" w:rsidP="00543B2C">
      <w:pPr>
        <w:pStyle w:val="NormalWeb"/>
        <w:spacing w:before="0" w:beforeAutospacing="0" w:after="0" w:afterAutospacing="0"/>
        <w:ind w:left="720"/>
      </w:pPr>
      <w:r w:rsidRPr="00335D62">
        <w:t>Snyder, Jack L.  and Leslie Vinjamuri.  “</w:t>
      </w:r>
      <w:r w:rsidRPr="004618E0">
        <w:rPr>
          <w:rStyle w:val="Emphasis"/>
          <w:i w:val="0"/>
        </w:rPr>
        <w:t>Preconditions of International Normative Change: Implications for Order and Violence</w:t>
      </w:r>
      <w:r w:rsidR="004618E0" w:rsidRPr="004618E0">
        <w:rPr>
          <w:rStyle w:val="Emphasis"/>
          <w:i w:val="0"/>
        </w:rPr>
        <w:t>.” I</w:t>
      </w:r>
      <w:r w:rsidR="004618E0">
        <w:rPr>
          <w:rStyle w:val="Emphasis"/>
          <w:i w:val="0"/>
        </w:rPr>
        <w:t>n</w:t>
      </w:r>
      <w:r w:rsidR="004618E0">
        <w:rPr>
          <w:rStyle w:val="style4"/>
        </w:rPr>
        <w:t xml:space="preserve"> </w:t>
      </w:r>
      <w:r w:rsidR="004618E0" w:rsidRPr="00335D62">
        <w:rPr>
          <w:rStyle w:val="style4"/>
          <w:i/>
        </w:rPr>
        <w:t>Order, Conflict, and Violence</w:t>
      </w:r>
      <w:r w:rsidR="004618E0">
        <w:rPr>
          <w:rStyle w:val="style4"/>
        </w:rPr>
        <w:t>. E</w:t>
      </w:r>
      <w:r w:rsidRPr="00335D62">
        <w:rPr>
          <w:rStyle w:val="style4"/>
        </w:rPr>
        <w:t xml:space="preserve">ds. </w:t>
      </w:r>
      <w:r w:rsidRPr="00335D62">
        <w:t>Stathis N. Kalyvas, Ian Shapiro and Tarek Masoud. Cambridge: Cambridge University Press, 2008</w:t>
      </w:r>
      <w:r>
        <w:t>.</w:t>
      </w:r>
    </w:p>
    <w:p w:rsidR="00543B2C" w:rsidRPr="00543B2C" w:rsidRDefault="00543B2C" w:rsidP="0047370C">
      <w:pPr>
        <w:autoSpaceDE w:val="0"/>
        <w:autoSpaceDN w:val="0"/>
        <w:adjustRightInd w:val="0"/>
        <w:rPr>
          <w:rFonts w:eastAsiaTheme="minorHAnsi"/>
          <w:lang w:val="en-CA"/>
        </w:rPr>
      </w:pPr>
    </w:p>
    <w:p w:rsidR="00543B2C" w:rsidRDefault="00543B2C" w:rsidP="00543B2C">
      <w:pPr>
        <w:autoSpaceDE w:val="0"/>
        <w:autoSpaceDN w:val="0"/>
        <w:adjustRightInd w:val="0"/>
        <w:ind w:left="720"/>
        <w:rPr>
          <w:rFonts w:eastAsiaTheme="minorHAnsi"/>
          <w:lang w:val="en-CA"/>
        </w:rPr>
      </w:pPr>
      <w:r w:rsidRPr="00543B2C">
        <w:rPr>
          <w:rFonts w:eastAsiaTheme="minorHAnsi"/>
          <w:lang w:val="en-CA"/>
        </w:rPr>
        <w:t>Wiebelhaus-Brahm, Eric. “Uncovering the Truth: Examining Truth Commission Success and Impact.”</w:t>
      </w:r>
      <w:r>
        <w:rPr>
          <w:rFonts w:eastAsiaTheme="minorHAnsi"/>
          <w:lang w:val="en-CA"/>
        </w:rPr>
        <w:t xml:space="preserve"> </w:t>
      </w:r>
      <w:r w:rsidRPr="00543B2C">
        <w:rPr>
          <w:rFonts w:eastAsiaTheme="minorHAnsi"/>
          <w:i/>
          <w:iCs/>
          <w:lang w:val="en-CA"/>
        </w:rPr>
        <w:t xml:space="preserve">International Studies Perspective </w:t>
      </w:r>
      <w:r w:rsidRPr="00543B2C">
        <w:rPr>
          <w:rFonts w:eastAsiaTheme="minorHAnsi"/>
          <w:lang w:val="en-CA"/>
        </w:rPr>
        <w:t>8 (2007): 21.</w:t>
      </w:r>
    </w:p>
    <w:p w:rsidR="00543B2C" w:rsidRPr="00543B2C" w:rsidRDefault="00543B2C" w:rsidP="00543B2C">
      <w:pPr>
        <w:autoSpaceDE w:val="0"/>
        <w:autoSpaceDN w:val="0"/>
        <w:adjustRightInd w:val="0"/>
        <w:ind w:left="720"/>
        <w:rPr>
          <w:b/>
        </w:rPr>
      </w:pPr>
    </w:p>
    <w:p w:rsidR="009C2BEA" w:rsidRDefault="009C2BEA" w:rsidP="00916E95">
      <w:pPr>
        <w:jc w:val="both"/>
        <w:rPr>
          <w:b/>
        </w:rPr>
      </w:pPr>
    </w:p>
    <w:p w:rsidR="004618E0" w:rsidRDefault="004618E0">
      <w:pPr>
        <w:rPr>
          <w:b/>
        </w:rPr>
      </w:pPr>
      <w:r>
        <w:rPr>
          <w:b/>
        </w:rPr>
        <w:br w:type="page"/>
      </w:r>
    </w:p>
    <w:p w:rsidR="009C2BEA" w:rsidRDefault="009C2BEA" w:rsidP="00916E95">
      <w:pPr>
        <w:jc w:val="both"/>
        <w:rPr>
          <w:b/>
        </w:rPr>
      </w:pPr>
      <w:r>
        <w:rPr>
          <w:b/>
        </w:rPr>
        <w:t>March 29</w:t>
      </w:r>
      <w:r w:rsidR="00A020D6">
        <w:rPr>
          <w:b/>
        </w:rPr>
        <w:tab/>
        <w:t>Local and Grassroots Actors</w:t>
      </w:r>
    </w:p>
    <w:p w:rsidR="00A020D6" w:rsidRDefault="00A020D6" w:rsidP="00916E95">
      <w:pPr>
        <w:jc w:val="both"/>
        <w:rPr>
          <w:b/>
        </w:rPr>
      </w:pPr>
    </w:p>
    <w:p w:rsidR="00543B2C" w:rsidRPr="00335D62" w:rsidRDefault="00543B2C" w:rsidP="00543B2C">
      <w:pPr>
        <w:ind w:left="720"/>
      </w:pPr>
      <w:r w:rsidRPr="00335D62">
        <w:t xml:space="preserve">Lundy, Patricia and Mark McGovern. "Whose Justice? Rethinking Transitional Justice from the Bottom Up." </w:t>
      </w:r>
      <w:r w:rsidRPr="00335D62">
        <w:rPr>
          <w:i/>
          <w:iCs/>
        </w:rPr>
        <w:t>Journal of Law and Society</w:t>
      </w:r>
      <w:r w:rsidRPr="00335D62">
        <w:t xml:space="preserve"> 35.2 (2008): 265-292.</w:t>
      </w:r>
    </w:p>
    <w:p w:rsidR="00543B2C" w:rsidRDefault="00543B2C" w:rsidP="00543B2C">
      <w:pPr>
        <w:jc w:val="both"/>
        <w:rPr>
          <w:b/>
        </w:rPr>
      </w:pPr>
    </w:p>
    <w:p w:rsidR="00543B2C" w:rsidRPr="004618E0" w:rsidRDefault="00543B2C" w:rsidP="004618E0">
      <w:pPr>
        <w:ind w:left="720"/>
      </w:pPr>
      <w:r w:rsidRPr="004618E0">
        <w:rPr>
          <w:bCs/>
          <w:kern w:val="36"/>
        </w:rPr>
        <w:t xml:space="preserve">McEvoy, Kieran and Lorna McGregor.  </w:t>
      </w:r>
      <w:r w:rsidR="004618E0" w:rsidRPr="004618E0">
        <w:rPr>
          <w:bCs/>
          <w:kern w:val="36"/>
        </w:rPr>
        <w:t>“</w:t>
      </w:r>
      <w:r w:rsidR="004618E0" w:rsidRPr="004618E0">
        <w:t>Transitional Justice From Below: An Agenda for Research, Policy and Praxis.”  In</w:t>
      </w:r>
      <w:r w:rsidR="004618E0">
        <w:t xml:space="preserve"> </w:t>
      </w:r>
      <w:r w:rsidRPr="004618E0">
        <w:rPr>
          <w:rStyle w:val="Emphasis"/>
          <w:bCs/>
          <w:kern w:val="36"/>
        </w:rPr>
        <w:t xml:space="preserve">Transitional Justice from Below: Grassroots Activism and the Struggle for Change.  </w:t>
      </w:r>
      <w:r w:rsidR="004618E0" w:rsidRPr="004618E0">
        <w:rPr>
          <w:bCs/>
          <w:kern w:val="36"/>
        </w:rPr>
        <w:t>Eds. Kieran McEvoy and Lorna McGregor.</w:t>
      </w:r>
      <w:r w:rsidR="004618E0" w:rsidRPr="004618E0">
        <w:rPr>
          <w:rStyle w:val="Emphasis"/>
          <w:bCs/>
          <w:i w:val="0"/>
          <w:kern w:val="36"/>
        </w:rPr>
        <w:t xml:space="preserve"> </w:t>
      </w:r>
      <w:r w:rsidRPr="004618E0">
        <w:rPr>
          <w:rStyle w:val="Emphasis"/>
          <w:bCs/>
          <w:i w:val="0"/>
          <w:kern w:val="36"/>
        </w:rPr>
        <w:t>Portland, OR.:</w:t>
      </w:r>
      <w:r w:rsidRPr="004618E0">
        <w:rPr>
          <w:rStyle w:val="Emphasis"/>
          <w:bCs/>
          <w:kern w:val="36"/>
        </w:rPr>
        <w:t xml:space="preserve"> </w:t>
      </w:r>
      <w:r w:rsidRPr="004618E0">
        <w:t>Hart Publishing, 2008.</w:t>
      </w:r>
    </w:p>
    <w:p w:rsidR="00543B2C" w:rsidRDefault="00543B2C" w:rsidP="00543B2C">
      <w:pPr>
        <w:jc w:val="both"/>
        <w:rPr>
          <w:b/>
        </w:rPr>
      </w:pPr>
    </w:p>
    <w:p w:rsidR="00543B2C" w:rsidRDefault="00543B2C" w:rsidP="00543B2C">
      <w:pPr>
        <w:pStyle w:val="Default"/>
        <w:ind w:left="720"/>
        <w:rPr>
          <w:rFonts w:ascii="Times New Roman" w:eastAsiaTheme="minorHAnsi" w:hAnsi="Times New Roman" w:cs="Times New Roman"/>
          <w:iCs/>
        </w:rPr>
      </w:pPr>
      <w:r w:rsidRPr="00543B2C">
        <w:rPr>
          <w:rFonts w:ascii="Times New Roman" w:hAnsi="Times New Roman" w:cs="Times New Roman"/>
        </w:rPr>
        <w:t>Robins, Simon.  “</w:t>
      </w:r>
      <w:r w:rsidRPr="00543B2C">
        <w:rPr>
          <w:rFonts w:ascii="Times New Roman" w:eastAsiaTheme="minorHAnsi" w:hAnsi="Times New Roman" w:cs="Times New Roman"/>
          <w:bCs/>
        </w:rPr>
        <w:t xml:space="preserve">Transitional justice as an elite discourse: Human rights practice between the global and the local in post-conflict Nepal.” </w:t>
      </w:r>
      <w:r w:rsidRPr="00543B2C">
        <w:rPr>
          <w:rFonts w:ascii="Times New Roman" w:eastAsiaTheme="minorHAnsi" w:hAnsi="Times New Roman" w:cs="Times New Roman"/>
          <w:iCs/>
        </w:rPr>
        <w:t>A paper presented at the ISA Annual Convention 2010.</w:t>
      </w:r>
    </w:p>
    <w:p w:rsidR="00543B2C" w:rsidRPr="00543B2C" w:rsidRDefault="00543B2C" w:rsidP="00543B2C">
      <w:pPr>
        <w:pStyle w:val="Default"/>
        <w:ind w:left="720"/>
        <w:rPr>
          <w:rFonts w:ascii="Times New Roman" w:hAnsi="Times New Roman" w:cs="Times New Roman"/>
          <w:b/>
        </w:rPr>
      </w:pPr>
    </w:p>
    <w:p w:rsidR="00543B2C" w:rsidRPr="004618E0" w:rsidRDefault="004618E0" w:rsidP="00543B2C">
      <w:pPr>
        <w:ind w:left="720"/>
      </w:pPr>
      <w:r w:rsidRPr="004618E0">
        <w:t>Shaw, Rosalind and</w:t>
      </w:r>
      <w:r w:rsidR="00543B2C" w:rsidRPr="004618E0">
        <w:t xml:space="preserve"> Lars Waldorf. </w:t>
      </w:r>
      <w:r w:rsidRPr="004618E0">
        <w:t xml:space="preserve">“Introduction: Localizing Transitional Justice”  In </w:t>
      </w:r>
      <w:r w:rsidR="00543B2C" w:rsidRPr="004618E0">
        <w:rPr>
          <w:i/>
          <w:iCs/>
        </w:rPr>
        <w:t>Localizing Transitional Justice: Interventions and Priorities after Mass Violence</w:t>
      </w:r>
      <w:r w:rsidR="00543B2C" w:rsidRPr="004618E0">
        <w:t xml:space="preserve">. </w:t>
      </w:r>
      <w:r w:rsidRPr="004618E0">
        <w:t xml:space="preserve">Eds. Rosalind Shaw, Lars Waldorf, and Pierre Hazan. </w:t>
      </w:r>
      <w:r w:rsidR="00543B2C" w:rsidRPr="004618E0">
        <w:t>Stanford, CA: Stanford UP, 2010.</w:t>
      </w:r>
    </w:p>
    <w:p w:rsidR="00543B2C" w:rsidRPr="004618E0" w:rsidRDefault="00543B2C" w:rsidP="00543B2C">
      <w:pPr>
        <w:pStyle w:val="NormalWeb"/>
        <w:spacing w:before="0" w:beforeAutospacing="0" w:after="0" w:afterAutospacing="0"/>
        <w:ind w:left="720"/>
        <w:rPr>
          <w:color w:val="00B050"/>
        </w:rPr>
      </w:pPr>
    </w:p>
    <w:p w:rsidR="00543B2C" w:rsidRPr="00335D62" w:rsidRDefault="00543B2C" w:rsidP="00543B2C">
      <w:pPr>
        <w:autoSpaceDE w:val="0"/>
        <w:autoSpaceDN w:val="0"/>
        <w:adjustRightInd w:val="0"/>
        <w:ind w:left="720"/>
        <w:rPr>
          <w:color w:val="000000" w:themeColor="text1"/>
        </w:rPr>
      </w:pPr>
      <w:r w:rsidRPr="00335D62">
        <w:rPr>
          <w:color w:val="000000" w:themeColor="text1"/>
        </w:rPr>
        <w:t xml:space="preserve">Vinck, Patrick and Phuong Pham, “Ownership and Participation in Transitional Justice Mechanisms: A Sustainable Human Development Perspective from Eastern DRC,” </w:t>
      </w:r>
      <w:r w:rsidRPr="00335D62">
        <w:rPr>
          <w:i/>
          <w:color w:val="000000" w:themeColor="text1"/>
        </w:rPr>
        <w:t>International Journal of Transitional Justice</w:t>
      </w:r>
      <w:r w:rsidRPr="00335D62">
        <w:rPr>
          <w:color w:val="000000" w:themeColor="text1"/>
        </w:rPr>
        <w:t xml:space="preserve"> 2 (2008): 398-411.</w:t>
      </w:r>
    </w:p>
    <w:p w:rsidR="00543B2C" w:rsidRDefault="00543B2C" w:rsidP="00916E95">
      <w:pPr>
        <w:jc w:val="both"/>
        <w:rPr>
          <w:b/>
        </w:rPr>
      </w:pPr>
    </w:p>
    <w:p w:rsidR="009C2BEA" w:rsidRDefault="009C2BEA" w:rsidP="00916E95">
      <w:pPr>
        <w:jc w:val="both"/>
        <w:rPr>
          <w:b/>
        </w:rPr>
      </w:pPr>
    </w:p>
    <w:p w:rsidR="009C2BEA" w:rsidRDefault="009C2BEA" w:rsidP="00916E95">
      <w:pPr>
        <w:jc w:val="both"/>
      </w:pPr>
      <w:r>
        <w:rPr>
          <w:b/>
        </w:rPr>
        <w:t>April 05</w:t>
      </w:r>
      <w:r w:rsidR="00A020D6">
        <w:rPr>
          <w:b/>
        </w:rPr>
        <w:tab/>
        <w:t>Looking Forward</w:t>
      </w:r>
    </w:p>
    <w:p w:rsidR="004618E0" w:rsidRDefault="004618E0" w:rsidP="00916E95">
      <w:pPr>
        <w:jc w:val="both"/>
      </w:pPr>
    </w:p>
    <w:p w:rsidR="004618E0" w:rsidRDefault="004618E0" w:rsidP="004618E0">
      <w:pPr>
        <w:ind w:left="720"/>
        <w:rPr>
          <w:iCs/>
        </w:rPr>
      </w:pPr>
      <w:r w:rsidRPr="00335D62">
        <w:rPr>
          <w:iCs/>
        </w:rPr>
        <w:t>Fletcher, Laurel E., Harvey M. Weinstein, Jamie Rowen</w:t>
      </w:r>
      <w:r>
        <w:rPr>
          <w:iCs/>
        </w:rPr>
        <w:t>.</w:t>
      </w:r>
      <w:r w:rsidRPr="00335D62">
        <w:rPr>
          <w:iCs/>
        </w:rPr>
        <w:t xml:space="preserve"> “Context, Timing and Dynamics of Transitional Justice: A Historical Perspective</w:t>
      </w:r>
      <w:r>
        <w:rPr>
          <w:iCs/>
        </w:rPr>
        <w:t>.</w:t>
      </w:r>
      <w:r w:rsidRPr="00335D62">
        <w:rPr>
          <w:iCs/>
        </w:rPr>
        <w:t xml:space="preserve">” </w:t>
      </w:r>
      <w:r w:rsidRPr="00335D62">
        <w:rPr>
          <w:i/>
          <w:iCs/>
        </w:rPr>
        <w:t>Human Rights Quarterly</w:t>
      </w:r>
      <w:r w:rsidRPr="00335D62">
        <w:rPr>
          <w:iCs/>
        </w:rPr>
        <w:t xml:space="preserve"> 31.1 (2009):163-220.</w:t>
      </w:r>
    </w:p>
    <w:p w:rsidR="004618E0" w:rsidRDefault="004618E0" w:rsidP="004618E0">
      <w:pPr>
        <w:ind w:left="720"/>
        <w:rPr>
          <w:iCs/>
        </w:rPr>
      </w:pPr>
    </w:p>
    <w:p w:rsidR="004618E0" w:rsidRDefault="004618E0" w:rsidP="004618E0">
      <w:pPr>
        <w:pStyle w:val="Title"/>
        <w:ind w:left="720"/>
        <w:jc w:val="left"/>
        <w:rPr>
          <w:szCs w:val="24"/>
        </w:rPr>
      </w:pPr>
      <w:r w:rsidRPr="00335D62">
        <w:rPr>
          <w:szCs w:val="24"/>
        </w:rPr>
        <w:t xml:space="preserve">United Nations Secretary General. S/2004/616. </w:t>
      </w:r>
      <w:r w:rsidRPr="00335D62">
        <w:rPr>
          <w:i/>
          <w:szCs w:val="24"/>
        </w:rPr>
        <w:t xml:space="preserve">Report of the Secretary General: </w:t>
      </w:r>
      <w:r w:rsidRPr="00335D62">
        <w:rPr>
          <w:i/>
          <w:iCs/>
          <w:szCs w:val="24"/>
        </w:rPr>
        <w:t>The Rule of Law and Transitional Justice in Conflict and Post-Conflict Societies</w:t>
      </w:r>
      <w:r w:rsidRPr="00335D62">
        <w:rPr>
          <w:szCs w:val="24"/>
        </w:rPr>
        <w:t xml:space="preserve">, 2004. </w:t>
      </w:r>
    </w:p>
    <w:p w:rsidR="004618E0" w:rsidRPr="00335D62" w:rsidRDefault="004618E0" w:rsidP="004618E0">
      <w:pPr>
        <w:pStyle w:val="Title"/>
        <w:ind w:left="720"/>
        <w:jc w:val="left"/>
        <w:rPr>
          <w:color w:val="000000"/>
          <w:szCs w:val="24"/>
        </w:rPr>
      </w:pPr>
    </w:p>
    <w:p w:rsidR="00502026" w:rsidRDefault="004618E0" w:rsidP="004618E0">
      <w:pPr>
        <w:autoSpaceDE w:val="0"/>
        <w:autoSpaceDN w:val="0"/>
        <w:adjustRightInd w:val="0"/>
        <w:ind w:left="720"/>
      </w:pPr>
      <w:r w:rsidRPr="00335D62">
        <w:t xml:space="preserve">United Nations Secretary General.  S/2011/634. </w:t>
      </w:r>
      <w:r w:rsidRPr="00335D62">
        <w:rPr>
          <w:i/>
        </w:rPr>
        <w:t xml:space="preserve">Report of the Secretary General: The rule </w:t>
      </w:r>
      <w:r>
        <w:rPr>
          <w:i/>
        </w:rPr>
        <w:t>o</w:t>
      </w:r>
      <w:r w:rsidRPr="00335D62">
        <w:rPr>
          <w:i/>
        </w:rPr>
        <w:t xml:space="preserve">f Law </w:t>
      </w:r>
      <w:r>
        <w:rPr>
          <w:i/>
        </w:rPr>
        <w:t>a</w:t>
      </w:r>
      <w:r w:rsidRPr="00335D62">
        <w:rPr>
          <w:i/>
        </w:rPr>
        <w:t>nd Transitional Justice In Conflict And Post-Conflict Situations</w:t>
      </w:r>
      <w:r w:rsidRPr="00335D62">
        <w:t>, 2011.</w:t>
      </w:r>
    </w:p>
    <w:p w:rsidR="00502026" w:rsidRDefault="00502026">
      <w:r>
        <w:br w:type="page"/>
      </w:r>
    </w:p>
    <w:p w:rsidR="00502026" w:rsidRPr="005E0B03" w:rsidRDefault="00AF27FF" w:rsidP="00502026">
      <w:pPr>
        <w:pStyle w:val="Heading1"/>
        <w:jc w:val="center"/>
        <w:rPr>
          <w:color w:val="000000"/>
          <w:sz w:val="22"/>
        </w:rPr>
      </w:pPr>
      <w:r>
        <w:rPr>
          <w:b/>
          <w:color w:val="000000"/>
          <w:sz w:val="22"/>
        </w:rPr>
        <w:t>STUDE</w:t>
      </w:r>
      <w:r w:rsidR="00502026" w:rsidRPr="005E0B03">
        <w:rPr>
          <w:b/>
          <w:color w:val="000000"/>
          <w:sz w:val="22"/>
        </w:rPr>
        <w:t>NT PARTICIPATION</w:t>
      </w:r>
    </w:p>
    <w:p w:rsidR="00502026" w:rsidRPr="005E0B03" w:rsidRDefault="00502026" w:rsidP="00502026">
      <w:pPr>
        <w:rPr>
          <w:color w:val="000000"/>
          <w:sz w:val="22"/>
        </w:rPr>
      </w:pPr>
    </w:p>
    <w:p w:rsidR="00502026" w:rsidRPr="005E0B03" w:rsidRDefault="00502026" w:rsidP="00502026">
      <w:pPr>
        <w:pStyle w:val="Heading3"/>
        <w:rPr>
          <w:color w:val="000000"/>
          <w:sz w:val="22"/>
        </w:rPr>
      </w:pPr>
      <w:r w:rsidRPr="005E0B03">
        <w:rPr>
          <w:color w:val="000000"/>
          <w:sz w:val="22"/>
        </w:rPr>
        <w:t>Participation Grading Guide</w:t>
      </w:r>
    </w:p>
    <w:p w:rsidR="00502026" w:rsidRPr="005E0B03" w:rsidRDefault="00502026" w:rsidP="00502026">
      <w:pPr>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
        <w:gridCol w:w="1848"/>
        <w:gridCol w:w="3211"/>
        <w:gridCol w:w="3425"/>
      </w:tblGrid>
      <w:tr w:rsidR="00502026" w:rsidRPr="005E0B03" w:rsidTr="00D724B0">
        <w:trPr>
          <w:trHeight w:val="261"/>
        </w:trPr>
        <w:tc>
          <w:tcPr>
            <w:tcW w:w="1089" w:type="dxa"/>
          </w:tcPr>
          <w:p w:rsidR="00502026" w:rsidRPr="005E0B03" w:rsidRDefault="00502026" w:rsidP="00D724B0">
            <w:pPr>
              <w:rPr>
                <w:b/>
                <w:color w:val="000000"/>
                <w:sz w:val="22"/>
              </w:rPr>
            </w:pPr>
            <w:r w:rsidRPr="005E0B03">
              <w:rPr>
                <w:b/>
                <w:color w:val="000000"/>
                <w:sz w:val="22"/>
              </w:rPr>
              <w:t>Grade</w:t>
            </w:r>
          </w:p>
        </w:tc>
        <w:tc>
          <w:tcPr>
            <w:tcW w:w="1848" w:type="dxa"/>
          </w:tcPr>
          <w:p w:rsidR="00502026" w:rsidRPr="005E0B03" w:rsidRDefault="00502026" w:rsidP="00D724B0">
            <w:pPr>
              <w:rPr>
                <w:b/>
                <w:color w:val="000000"/>
                <w:sz w:val="22"/>
              </w:rPr>
            </w:pPr>
            <w:r w:rsidRPr="005E0B03">
              <w:rPr>
                <w:b/>
                <w:color w:val="000000"/>
                <w:sz w:val="22"/>
              </w:rPr>
              <w:t>Attendance</w:t>
            </w:r>
          </w:p>
        </w:tc>
        <w:tc>
          <w:tcPr>
            <w:tcW w:w="3211" w:type="dxa"/>
          </w:tcPr>
          <w:p w:rsidR="00502026" w:rsidRPr="005E0B03" w:rsidRDefault="00502026" w:rsidP="00D724B0">
            <w:pPr>
              <w:rPr>
                <w:b/>
                <w:color w:val="000000"/>
                <w:sz w:val="22"/>
              </w:rPr>
            </w:pPr>
            <w:r w:rsidRPr="005E0B03">
              <w:rPr>
                <w:b/>
                <w:color w:val="000000"/>
                <w:sz w:val="22"/>
              </w:rPr>
              <w:t>Discussion</w:t>
            </w:r>
          </w:p>
        </w:tc>
        <w:tc>
          <w:tcPr>
            <w:tcW w:w="3425" w:type="dxa"/>
          </w:tcPr>
          <w:p w:rsidR="00502026" w:rsidRPr="005E0B03" w:rsidRDefault="00502026" w:rsidP="00D724B0">
            <w:pPr>
              <w:rPr>
                <w:b/>
                <w:color w:val="000000"/>
                <w:sz w:val="22"/>
              </w:rPr>
            </w:pPr>
            <w:r w:rsidRPr="005E0B03">
              <w:rPr>
                <w:b/>
                <w:color w:val="000000"/>
                <w:sz w:val="22"/>
              </w:rPr>
              <w:t>Reading</w:t>
            </w:r>
          </w:p>
        </w:tc>
      </w:tr>
      <w:tr w:rsidR="00502026" w:rsidRPr="005E0B03" w:rsidTr="00D724B0">
        <w:trPr>
          <w:trHeight w:val="1791"/>
        </w:trPr>
        <w:tc>
          <w:tcPr>
            <w:tcW w:w="1089" w:type="dxa"/>
          </w:tcPr>
          <w:p w:rsidR="00502026" w:rsidRPr="005E0B03" w:rsidRDefault="00502026" w:rsidP="00D724B0">
            <w:pPr>
              <w:rPr>
                <w:color w:val="000000"/>
                <w:sz w:val="22"/>
              </w:rPr>
            </w:pPr>
          </w:p>
          <w:p w:rsidR="00502026" w:rsidRPr="005E0B03" w:rsidRDefault="00502026" w:rsidP="00D724B0">
            <w:pPr>
              <w:rPr>
                <w:color w:val="000000"/>
                <w:sz w:val="22"/>
              </w:rPr>
            </w:pPr>
            <w:r>
              <w:rPr>
                <w:color w:val="000000"/>
                <w:sz w:val="22"/>
              </w:rPr>
              <w:t>20</w:t>
            </w:r>
          </w:p>
        </w:tc>
        <w:tc>
          <w:tcPr>
            <w:tcW w:w="1848" w:type="dxa"/>
          </w:tcPr>
          <w:p w:rsidR="00502026" w:rsidRPr="005E0B03" w:rsidRDefault="00502026" w:rsidP="00D724B0">
            <w:pPr>
              <w:rPr>
                <w:color w:val="000000"/>
                <w:sz w:val="22"/>
              </w:rPr>
            </w:pPr>
          </w:p>
          <w:p w:rsidR="00502026" w:rsidRPr="005E0B03" w:rsidRDefault="00502026" w:rsidP="00D724B0">
            <w:pPr>
              <w:rPr>
                <w:color w:val="000000"/>
                <w:sz w:val="22"/>
              </w:rPr>
            </w:pPr>
            <w:r w:rsidRPr="005E0B03">
              <w:rPr>
                <w:color w:val="000000"/>
                <w:sz w:val="22"/>
              </w:rPr>
              <w:t>Always</w:t>
            </w:r>
          </w:p>
        </w:tc>
        <w:tc>
          <w:tcPr>
            <w:tcW w:w="3211" w:type="dxa"/>
          </w:tcPr>
          <w:p w:rsidR="00502026" w:rsidRPr="005E0B03" w:rsidRDefault="00502026" w:rsidP="00D724B0">
            <w:pPr>
              <w:rPr>
                <w:color w:val="000000"/>
                <w:sz w:val="22"/>
                <w:u w:val="single"/>
              </w:rPr>
            </w:pPr>
          </w:p>
          <w:p w:rsidR="00502026" w:rsidRPr="005E0B03" w:rsidRDefault="00502026" w:rsidP="00D724B0">
            <w:pPr>
              <w:rPr>
                <w:color w:val="000000"/>
                <w:sz w:val="22"/>
              </w:rPr>
            </w:pPr>
            <w:r w:rsidRPr="005E0B03">
              <w:rPr>
                <w:color w:val="000000"/>
                <w:sz w:val="22"/>
                <w:u w:val="single"/>
              </w:rPr>
              <w:t>Excellent</w:t>
            </w:r>
            <w:r w:rsidRPr="005E0B03">
              <w:rPr>
                <w:color w:val="000000"/>
                <w:sz w:val="22"/>
              </w:rPr>
              <w:t>:  leads debate;  offers analysis and comments;  always has ideas on theme of reading;  takes care not to dominate;  asks questions</w:t>
            </w:r>
          </w:p>
          <w:p w:rsidR="00502026" w:rsidRPr="005E0B03" w:rsidRDefault="00502026" w:rsidP="00D724B0">
            <w:pPr>
              <w:rPr>
                <w:color w:val="000000"/>
                <w:sz w:val="22"/>
              </w:rPr>
            </w:pPr>
          </w:p>
        </w:tc>
        <w:tc>
          <w:tcPr>
            <w:tcW w:w="3425" w:type="dxa"/>
          </w:tcPr>
          <w:p w:rsidR="00502026" w:rsidRPr="005E0B03" w:rsidRDefault="00502026" w:rsidP="00D724B0">
            <w:pPr>
              <w:rPr>
                <w:color w:val="000000"/>
                <w:sz w:val="22"/>
              </w:rPr>
            </w:pPr>
          </w:p>
          <w:p w:rsidR="00502026" w:rsidRPr="005E0B03" w:rsidRDefault="00502026" w:rsidP="00D724B0">
            <w:pPr>
              <w:rPr>
                <w:color w:val="000000"/>
                <w:sz w:val="22"/>
              </w:rPr>
            </w:pPr>
            <w:r w:rsidRPr="005E0B03">
              <w:rPr>
                <w:color w:val="000000"/>
                <w:sz w:val="22"/>
              </w:rPr>
              <w:t>Clearly has done and prepared questions on virtually all readings;  intelligently uses this understanding and these questions in discussion</w:t>
            </w:r>
          </w:p>
        </w:tc>
      </w:tr>
      <w:tr w:rsidR="00502026" w:rsidRPr="005E0B03" w:rsidTr="00D724B0">
        <w:trPr>
          <w:trHeight w:val="1529"/>
        </w:trPr>
        <w:tc>
          <w:tcPr>
            <w:tcW w:w="1089" w:type="dxa"/>
          </w:tcPr>
          <w:p w:rsidR="00502026" w:rsidRPr="005E0B03" w:rsidRDefault="00502026" w:rsidP="00D724B0">
            <w:pPr>
              <w:rPr>
                <w:color w:val="000000"/>
                <w:sz w:val="22"/>
              </w:rPr>
            </w:pPr>
          </w:p>
          <w:p w:rsidR="00502026" w:rsidRPr="005E0B03" w:rsidRDefault="00502026" w:rsidP="00D724B0">
            <w:pPr>
              <w:rPr>
                <w:color w:val="000000"/>
                <w:sz w:val="22"/>
              </w:rPr>
            </w:pPr>
            <w:r>
              <w:rPr>
                <w:color w:val="000000"/>
                <w:sz w:val="22"/>
              </w:rPr>
              <w:t>15-19</w:t>
            </w:r>
          </w:p>
        </w:tc>
        <w:tc>
          <w:tcPr>
            <w:tcW w:w="1848" w:type="dxa"/>
          </w:tcPr>
          <w:p w:rsidR="00502026" w:rsidRPr="005E0B03" w:rsidRDefault="00502026" w:rsidP="00D724B0">
            <w:pPr>
              <w:rPr>
                <w:color w:val="000000"/>
                <w:sz w:val="22"/>
              </w:rPr>
            </w:pPr>
          </w:p>
          <w:p w:rsidR="00502026" w:rsidRPr="005E0B03" w:rsidRDefault="00502026" w:rsidP="00D724B0">
            <w:pPr>
              <w:rPr>
                <w:color w:val="000000"/>
                <w:sz w:val="22"/>
              </w:rPr>
            </w:pPr>
            <w:r w:rsidRPr="005E0B03">
              <w:rPr>
                <w:color w:val="000000"/>
                <w:sz w:val="22"/>
              </w:rPr>
              <w:t>Almost always</w:t>
            </w:r>
          </w:p>
        </w:tc>
        <w:tc>
          <w:tcPr>
            <w:tcW w:w="3211" w:type="dxa"/>
          </w:tcPr>
          <w:p w:rsidR="00502026" w:rsidRPr="005E0B03" w:rsidRDefault="00502026" w:rsidP="00D724B0">
            <w:pPr>
              <w:rPr>
                <w:color w:val="000000"/>
                <w:sz w:val="22"/>
              </w:rPr>
            </w:pPr>
          </w:p>
          <w:p w:rsidR="00502026" w:rsidRPr="005E0B03" w:rsidRDefault="00502026" w:rsidP="00D724B0">
            <w:pPr>
              <w:rPr>
                <w:color w:val="000000"/>
                <w:sz w:val="22"/>
              </w:rPr>
            </w:pPr>
            <w:r w:rsidRPr="005E0B03">
              <w:rPr>
                <w:color w:val="000000"/>
                <w:sz w:val="22"/>
                <w:u w:val="single"/>
              </w:rPr>
              <w:t>Very Good</w:t>
            </w:r>
            <w:r w:rsidRPr="005E0B03">
              <w:rPr>
                <w:color w:val="000000"/>
                <w:sz w:val="22"/>
              </w:rPr>
              <w:t>:  thoughtful comments and questions for the most part;  willing, able and frequent contributor</w:t>
            </w:r>
          </w:p>
          <w:p w:rsidR="00502026" w:rsidRPr="005E0B03" w:rsidRDefault="00502026" w:rsidP="00D724B0">
            <w:pPr>
              <w:rPr>
                <w:color w:val="000000"/>
                <w:sz w:val="22"/>
              </w:rPr>
            </w:pPr>
          </w:p>
        </w:tc>
        <w:tc>
          <w:tcPr>
            <w:tcW w:w="3425" w:type="dxa"/>
          </w:tcPr>
          <w:p w:rsidR="00502026" w:rsidRPr="005E0B03" w:rsidRDefault="00502026" w:rsidP="00D724B0">
            <w:pPr>
              <w:rPr>
                <w:color w:val="000000"/>
                <w:sz w:val="22"/>
              </w:rPr>
            </w:pPr>
          </w:p>
          <w:p w:rsidR="00502026" w:rsidRPr="005E0B03" w:rsidRDefault="00502026" w:rsidP="00D724B0">
            <w:pPr>
              <w:rPr>
                <w:color w:val="000000"/>
                <w:sz w:val="22"/>
              </w:rPr>
            </w:pPr>
            <w:r w:rsidRPr="005E0B03">
              <w:rPr>
                <w:color w:val="000000"/>
                <w:sz w:val="22"/>
              </w:rPr>
              <w:t>Has done most readings;  provides competent analysis of reading when prompted by others</w:t>
            </w:r>
          </w:p>
        </w:tc>
      </w:tr>
      <w:tr w:rsidR="00502026" w:rsidRPr="005E0B03" w:rsidTr="00D724B0">
        <w:trPr>
          <w:trHeight w:val="2563"/>
        </w:trPr>
        <w:tc>
          <w:tcPr>
            <w:tcW w:w="1089" w:type="dxa"/>
          </w:tcPr>
          <w:p w:rsidR="00502026" w:rsidRPr="005E0B03" w:rsidRDefault="00502026" w:rsidP="00D724B0">
            <w:pPr>
              <w:rPr>
                <w:color w:val="000000"/>
                <w:sz w:val="22"/>
              </w:rPr>
            </w:pPr>
          </w:p>
          <w:p w:rsidR="00502026" w:rsidRPr="005E0B03" w:rsidRDefault="00502026" w:rsidP="00D724B0">
            <w:pPr>
              <w:rPr>
                <w:color w:val="000000"/>
                <w:sz w:val="22"/>
              </w:rPr>
            </w:pPr>
            <w:r>
              <w:rPr>
                <w:color w:val="000000"/>
                <w:sz w:val="22"/>
              </w:rPr>
              <w:t>10-14</w:t>
            </w:r>
          </w:p>
        </w:tc>
        <w:tc>
          <w:tcPr>
            <w:tcW w:w="1848" w:type="dxa"/>
          </w:tcPr>
          <w:p w:rsidR="00502026" w:rsidRPr="005E0B03" w:rsidRDefault="00502026" w:rsidP="00D724B0">
            <w:pPr>
              <w:rPr>
                <w:color w:val="000000"/>
                <w:sz w:val="22"/>
              </w:rPr>
            </w:pPr>
          </w:p>
          <w:p w:rsidR="00502026" w:rsidRPr="005E0B03" w:rsidRDefault="00502026" w:rsidP="00D724B0">
            <w:pPr>
              <w:rPr>
                <w:color w:val="000000"/>
                <w:sz w:val="22"/>
              </w:rPr>
            </w:pPr>
            <w:r w:rsidRPr="005E0B03">
              <w:rPr>
                <w:color w:val="000000"/>
                <w:sz w:val="22"/>
              </w:rPr>
              <w:t>Frequent</w:t>
            </w:r>
          </w:p>
        </w:tc>
        <w:tc>
          <w:tcPr>
            <w:tcW w:w="3211" w:type="dxa"/>
          </w:tcPr>
          <w:p w:rsidR="00502026" w:rsidRPr="005E0B03" w:rsidRDefault="00502026" w:rsidP="00D724B0">
            <w:pPr>
              <w:rPr>
                <w:color w:val="000000"/>
                <w:sz w:val="22"/>
              </w:rPr>
            </w:pPr>
          </w:p>
          <w:p w:rsidR="00502026" w:rsidRPr="005E0B03" w:rsidRDefault="00502026" w:rsidP="00D724B0">
            <w:pPr>
              <w:rPr>
                <w:color w:val="000000"/>
                <w:sz w:val="22"/>
              </w:rPr>
            </w:pPr>
            <w:r w:rsidRPr="005E0B03">
              <w:rPr>
                <w:color w:val="000000"/>
                <w:sz w:val="22"/>
                <w:u w:val="single"/>
              </w:rPr>
              <w:t>Good</w:t>
            </w:r>
            <w:r w:rsidRPr="005E0B03">
              <w:rPr>
                <w:color w:val="000000"/>
                <w:sz w:val="22"/>
              </w:rPr>
              <w:t>:  has basic grasp of key concepts and occasional ideas on the main theme of the reading; arguments are sporadic and at times incomplete or poorly supported;  unwilling to ask questions</w:t>
            </w:r>
          </w:p>
          <w:p w:rsidR="00502026" w:rsidRPr="005E0B03" w:rsidRDefault="00502026" w:rsidP="00D724B0">
            <w:pPr>
              <w:rPr>
                <w:color w:val="000000"/>
                <w:sz w:val="22"/>
              </w:rPr>
            </w:pPr>
          </w:p>
        </w:tc>
        <w:tc>
          <w:tcPr>
            <w:tcW w:w="3425" w:type="dxa"/>
          </w:tcPr>
          <w:p w:rsidR="00502026" w:rsidRPr="005E0B03" w:rsidRDefault="00502026" w:rsidP="00D724B0">
            <w:pPr>
              <w:rPr>
                <w:color w:val="000000"/>
                <w:sz w:val="22"/>
              </w:rPr>
            </w:pPr>
          </w:p>
          <w:p w:rsidR="00502026" w:rsidRPr="005E0B03" w:rsidRDefault="00502026" w:rsidP="00D724B0">
            <w:pPr>
              <w:rPr>
                <w:color w:val="000000"/>
                <w:sz w:val="22"/>
              </w:rPr>
            </w:pPr>
            <w:r w:rsidRPr="005E0B03">
              <w:rPr>
                <w:color w:val="000000"/>
                <w:sz w:val="22"/>
              </w:rPr>
              <w:t>Displays familiarity with most readings, but tends not to analyze them or to relate them to the course material</w:t>
            </w:r>
          </w:p>
        </w:tc>
      </w:tr>
      <w:tr w:rsidR="00502026" w:rsidRPr="005E0B03" w:rsidTr="00D724B0">
        <w:trPr>
          <w:trHeight w:val="2314"/>
        </w:trPr>
        <w:tc>
          <w:tcPr>
            <w:tcW w:w="1089" w:type="dxa"/>
          </w:tcPr>
          <w:p w:rsidR="00502026" w:rsidRPr="005E0B03" w:rsidRDefault="00502026" w:rsidP="00D724B0">
            <w:pPr>
              <w:rPr>
                <w:color w:val="000000"/>
                <w:sz w:val="22"/>
              </w:rPr>
            </w:pPr>
          </w:p>
          <w:p w:rsidR="00502026" w:rsidRPr="005E0B03" w:rsidRDefault="00502026" w:rsidP="00D724B0">
            <w:pPr>
              <w:rPr>
                <w:color w:val="000000"/>
                <w:sz w:val="22"/>
              </w:rPr>
            </w:pPr>
            <w:r>
              <w:rPr>
                <w:color w:val="000000"/>
                <w:sz w:val="22"/>
              </w:rPr>
              <w:t>5-9</w:t>
            </w:r>
          </w:p>
        </w:tc>
        <w:tc>
          <w:tcPr>
            <w:tcW w:w="1848" w:type="dxa"/>
          </w:tcPr>
          <w:p w:rsidR="00502026" w:rsidRPr="005E0B03" w:rsidRDefault="00502026" w:rsidP="00D724B0">
            <w:pPr>
              <w:rPr>
                <w:color w:val="000000"/>
                <w:sz w:val="22"/>
              </w:rPr>
            </w:pPr>
          </w:p>
          <w:p w:rsidR="00502026" w:rsidRPr="005E0B03" w:rsidRDefault="00502026" w:rsidP="00D724B0">
            <w:pPr>
              <w:rPr>
                <w:color w:val="000000"/>
                <w:sz w:val="22"/>
              </w:rPr>
            </w:pPr>
            <w:r w:rsidRPr="005E0B03">
              <w:rPr>
                <w:color w:val="000000"/>
                <w:sz w:val="22"/>
              </w:rPr>
              <w:t>Occasional</w:t>
            </w:r>
          </w:p>
        </w:tc>
        <w:tc>
          <w:tcPr>
            <w:tcW w:w="3211" w:type="dxa"/>
          </w:tcPr>
          <w:p w:rsidR="00502026" w:rsidRPr="005E0B03" w:rsidRDefault="00502026" w:rsidP="00D724B0">
            <w:pPr>
              <w:rPr>
                <w:color w:val="000000"/>
                <w:sz w:val="22"/>
              </w:rPr>
            </w:pPr>
          </w:p>
          <w:p w:rsidR="00502026" w:rsidRPr="005E0B03" w:rsidRDefault="00502026" w:rsidP="00D724B0">
            <w:pPr>
              <w:rPr>
                <w:color w:val="000000"/>
                <w:sz w:val="22"/>
              </w:rPr>
            </w:pPr>
            <w:r w:rsidRPr="005E0B03">
              <w:rPr>
                <w:color w:val="000000"/>
                <w:sz w:val="22"/>
                <w:u w:val="single"/>
              </w:rPr>
              <w:t>Somewhat Poor</w:t>
            </w:r>
            <w:r w:rsidRPr="005E0B03">
              <w:rPr>
                <w:color w:val="000000"/>
                <w:sz w:val="22"/>
              </w:rPr>
              <w:t>:  remarks in class marred by misunderstandings of key concepts;  seldom contributes effectively to discussion of the main theme;  often digresses in unhelpful ways;  sporadic</w:t>
            </w:r>
          </w:p>
          <w:p w:rsidR="00502026" w:rsidRPr="005E0B03" w:rsidRDefault="00502026" w:rsidP="00D724B0">
            <w:pPr>
              <w:rPr>
                <w:color w:val="000000"/>
                <w:sz w:val="22"/>
              </w:rPr>
            </w:pPr>
          </w:p>
        </w:tc>
        <w:tc>
          <w:tcPr>
            <w:tcW w:w="3425" w:type="dxa"/>
          </w:tcPr>
          <w:p w:rsidR="00502026" w:rsidRPr="005E0B03" w:rsidRDefault="00502026" w:rsidP="00D724B0">
            <w:pPr>
              <w:rPr>
                <w:color w:val="000000"/>
                <w:sz w:val="22"/>
              </w:rPr>
            </w:pPr>
          </w:p>
          <w:p w:rsidR="00502026" w:rsidRPr="005E0B03" w:rsidRDefault="00502026" w:rsidP="00D724B0">
            <w:pPr>
              <w:rPr>
                <w:color w:val="000000"/>
                <w:sz w:val="22"/>
              </w:rPr>
            </w:pPr>
            <w:r w:rsidRPr="005E0B03">
              <w:rPr>
                <w:color w:val="000000"/>
                <w:sz w:val="22"/>
              </w:rPr>
              <w:t>Actual knowledge of material is outweighed by improvised comments and remarks</w:t>
            </w:r>
          </w:p>
        </w:tc>
      </w:tr>
      <w:tr w:rsidR="00502026" w:rsidRPr="005E0B03" w:rsidTr="00D724B0">
        <w:trPr>
          <w:trHeight w:val="1033"/>
        </w:trPr>
        <w:tc>
          <w:tcPr>
            <w:tcW w:w="1089" w:type="dxa"/>
          </w:tcPr>
          <w:p w:rsidR="00502026" w:rsidRPr="005E0B03" w:rsidRDefault="00502026" w:rsidP="00D724B0">
            <w:pPr>
              <w:rPr>
                <w:color w:val="000000"/>
                <w:sz w:val="22"/>
              </w:rPr>
            </w:pPr>
          </w:p>
          <w:p w:rsidR="00502026" w:rsidRPr="005E0B03" w:rsidRDefault="00502026" w:rsidP="00502026">
            <w:pPr>
              <w:rPr>
                <w:color w:val="000000"/>
                <w:sz w:val="22"/>
              </w:rPr>
            </w:pPr>
            <w:r w:rsidRPr="005E0B03">
              <w:rPr>
                <w:color w:val="000000"/>
                <w:sz w:val="22"/>
              </w:rPr>
              <w:t>0-</w:t>
            </w:r>
            <w:r>
              <w:rPr>
                <w:color w:val="000000"/>
                <w:sz w:val="22"/>
              </w:rPr>
              <w:t>4</w:t>
            </w:r>
          </w:p>
        </w:tc>
        <w:tc>
          <w:tcPr>
            <w:tcW w:w="1848" w:type="dxa"/>
          </w:tcPr>
          <w:p w:rsidR="00502026" w:rsidRPr="005E0B03" w:rsidRDefault="00502026" w:rsidP="00D724B0">
            <w:pPr>
              <w:rPr>
                <w:color w:val="000000"/>
                <w:sz w:val="22"/>
              </w:rPr>
            </w:pPr>
          </w:p>
          <w:p w:rsidR="00502026" w:rsidRPr="005E0B03" w:rsidRDefault="00502026" w:rsidP="00D724B0">
            <w:pPr>
              <w:rPr>
                <w:color w:val="000000"/>
                <w:sz w:val="22"/>
              </w:rPr>
            </w:pPr>
            <w:r w:rsidRPr="005E0B03">
              <w:rPr>
                <w:color w:val="000000"/>
                <w:sz w:val="22"/>
              </w:rPr>
              <w:t>Rare</w:t>
            </w:r>
          </w:p>
        </w:tc>
        <w:tc>
          <w:tcPr>
            <w:tcW w:w="3211" w:type="dxa"/>
          </w:tcPr>
          <w:p w:rsidR="00502026" w:rsidRPr="005E0B03" w:rsidRDefault="00502026" w:rsidP="00D724B0">
            <w:pPr>
              <w:rPr>
                <w:color w:val="000000"/>
                <w:sz w:val="22"/>
              </w:rPr>
            </w:pPr>
          </w:p>
          <w:p w:rsidR="00502026" w:rsidRPr="005E0B03" w:rsidRDefault="00502026" w:rsidP="00D724B0">
            <w:pPr>
              <w:rPr>
                <w:color w:val="000000"/>
                <w:sz w:val="22"/>
              </w:rPr>
            </w:pPr>
            <w:r w:rsidRPr="005E0B03">
              <w:rPr>
                <w:color w:val="000000"/>
                <w:sz w:val="22"/>
                <w:u w:val="single"/>
              </w:rPr>
              <w:t>Poor</w:t>
            </w:r>
            <w:r w:rsidRPr="005E0B03">
              <w:rPr>
                <w:color w:val="000000"/>
                <w:sz w:val="22"/>
              </w:rPr>
              <w:t>:  rarely speaks;  parrots text or comments of others</w:t>
            </w:r>
          </w:p>
          <w:p w:rsidR="00502026" w:rsidRPr="005E0B03" w:rsidRDefault="00502026" w:rsidP="00D724B0">
            <w:pPr>
              <w:rPr>
                <w:color w:val="000000"/>
                <w:sz w:val="22"/>
              </w:rPr>
            </w:pPr>
          </w:p>
        </w:tc>
        <w:tc>
          <w:tcPr>
            <w:tcW w:w="3425" w:type="dxa"/>
          </w:tcPr>
          <w:p w:rsidR="00502026" w:rsidRPr="005E0B03" w:rsidRDefault="00502026" w:rsidP="00D724B0">
            <w:pPr>
              <w:rPr>
                <w:color w:val="000000"/>
                <w:sz w:val="22"/>
              </w:rPr>
            </w:pPr>
          </w:p>
          <w:p w:rsidR="00502026" w:rsidRPr="005E0B03" w:rsidRDefault="00502026" w:rsidP="00D724B0">
            <w:pPr>
              <w:rPr>
                <w:color w:val="000000"/>
                <w:sz w:val="22"/>
              </w:rPr>
            </w:pPr>
            <w:r w:rsidRPr="005E0B03">
              <w:rPr>
                <w:color w:val="000000"/>
                <w:sz w:val="22"/>
              </w:rPr>
              <w:t>Little or no apparent familiarity with assigned material</w:t>
            </w:r>
          </w:p>
        </w:tc>
      </w:tr>
    </w:tbl>
    <w:p w:rsidR="00502026" w:rsidRPr="005E0B03" w:rsidRDefault="00502026" w:rsidP="00502026">
      <w:pPr>
        <w:rPr>
          <w:color w:val="000000"/>
          <w:sz w:val="22"/>
        </w:rPr>
      </w:pPr>
    </w:p>
    <w:p w:rsidR="00502026" w:rsidRPr="005E0B03" w:rsidRDefault="00502026" w:rsidP="00502026">
      <w:pPr>
        <w:rPr>
          <w:color w:val="000000"/>
          <w:sz w:val="22"/>
        </w:rPr>
      </w:pPr>
    </w:p>
    <w:p w:rsidR="00502026" w:rsidRPr="005E0B03" w:rsidRDefault="00502026" w:rsidP="00502026">
      <w:pPr>
        <w:jc w:val="center"/>
        <w:rPr>
          <w:b/>
          <w:color w:val="000000"/>
          <w:sz w:val="22"/>
        </w:rPr>
      </w:pPr>
      <w:r w:rsidRPr="005E0B03">
        <w:rPr>
          <w:color w:val="000000"/>
          <w:sz w:val="22"/>
        </w:rPr>
        <w:br w:type="page"/>
      </w:r>
      <w:r w:rsidRPr="005E0B03">
        <w:rPr>
          <w:b/>
          <w:color w:val="000000"/>
          <w:sz w:val="22"/>
        </w:rPr>
        <w:t>ESSAYS</w:t>
      </w:r>
    </w:p>
    <w:p w:rsidR="00502026" w:rsidRPr="005E0B03" w:rsidRDefault="00502026" w:rsidP="00502026">
      <w:pPr>
        <w:jc w:val="center"/>
        <w:rPr>
          <w:b/>
          <w:color w:val="000000"/>
          <w:sz w:val="22"/>
        </w:rPr>
      </w:pPr>
    </w:p>
    <w:p w:rsidR="00502026" w:rsidRPr="005E0B03" w:rsidRDefault="00502026" w:rsidP="00502026">
      <w:pPr>
        <w:jc w:val="center"/>
        <w:rPr>
          <w:b/>
          <w:color w:val="000000"/>
          <w:sz w:val="22"/>
        </w:rPr>
      </w:pPr>
      <w:r w:rsidRPr="005E0B03">
        <w:rPr>
          <w:b/>
          <w:color w:val="000000"/>
          <w:sz w:val="22"/>
        </w:rPr>
        <w:t>Grading Grid</w:t>
      </w:r>
    </w:p>
    <w:p w:rsidR="00502026" w:rsidRPr="005E0B03" w:rsidRDefault="00502026" w:rsidP="00502026">
      <w:pPr>
        <w:jc w:val="center"/>
        <w:rPr>
          <w:b/>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7038"/>
      </w:tblGrid>
      <w:tr w:rsidR="00502026" w:rsidRPr="005E0B03" w:rsidTr="00D724B0">
        <w:tc>
          <w:tcPr>
            <w:tcW w:w="1818" w:type="dxa"/>
          </w:tcPr>
          <w:p w:rsidR="00502026" w:rsidRPr="005E0B03" w:rsidRDefault="00502026" w:rsidP="00502026">
            <w:pPr>
              <w:rPr>
                <w:color w:val="000000"/>
                <w:sz w:val="22"/>
              </w:rPr>
            </w:pPr>
          </w:p>
          <w:p w:rsidR="00502026" w:rsidRPr="005E0B03" w:rsidRDefault="00502026" w:rsidP="00502026">
            <w:pPr>
              <w:pStyle w:val="Heading1"/>
              <w:rPr>
                <w:color w:val="000000"/>
                <w:sz w:val="22"/>
              </w:rPr>
            </w:pPr>
            <w:r w:rsidRPr="005E0B03">
              <w:rPr>
                <w:color w:val="000000"/>
                <w:sz w:val="22"/>
              </w:rPr>
              <w:t>Argument</w:t>
            </w:r>
          </w:p>
          <w:p w:rsidR="00502026" w:rsidRPr="005E0B03" w:rsidRDefault="00502026" w:rsidP="00502026">
            <w:pPr>
              <w:rPr>
                <w:color w:val="000000"/>
                <w:sz w:val="22"/>
              </w:rPr>
            </w:pPr>
          </w:p>
          <w:p w:rsidR="00502026" w:rsidRPr="005E0B03" w:rsidRDefault="00502026" w:rsidP="00502026">
            <w:pPr>
              <w:rPr>
                <w:color w:val="000000"/>
                <w:sz w:val="22"/>
              </w:rPr>
            </w:pPr>
          </w:p>
          <w:p w:rsidR="00502026" w:rsidRPr="005E0B03" w:rsidRDefault="00502026" w:rsidP="00502026">
            <w:pPr>
              <w:rPr>
                <w:color w:val="000000"/>
                <w:sz w:val="22"/>
              </w:rPr>
            </w:pPr>
          </w:p>
        </w:tc>
        <w:tc>
          <w:tcPr>
            <w:tcW w:w="7038" w:type="dxa"/>
          </w:tcPr>
          <w:p w:rsidR="00502026" w:rsidRDefault="00502026" w:rsidP="00502026">
            <w:pPr>
              <w:jc w:val="center"/>
              <w:rPr>
                <w:color w:val="000000"/>
                <w:sz w:val="22"/>
              </w:rPr>
            </w:pPr>
          </w:p>
          <w:p w:rsidR="00502026" w:rsidRDefault="00502026" w:rsidP="00502026">
            <w:pPr>
              <w:jc w:val="center"/>
              <w:rPr>
                <w:color w:val="000000"/>
                <w:sz w:val="22"/>
              </w:rPr>
            </w:pPr>
          </w:p>
          <w:p w:rsidR="00502026" w:rsidRDefault="00502026" w:rsidP="00502026">
            <w:pPr>
              <w:jc w:val="center"/>
              <w:rPr>
                <w:color w:val="000000"/>
                <w:sz w:val="22"/>
              </w:rPr>
            </w:pPr>
          </w:p>
          <w:p w:rsidR="00502026" w:rsidRDefault="00502026" w:rsidP="00502026">
            <w:pPr>
              <w:jc w:val="center"/>
              <w:rPr>
                <w:color w:val="000000"/>
                <w:sz w:val="22"/>
              </w:rPr>
            </w:pPr>
          </w:p>
          <w:p w:rsidR="00502026" w:rsidRDefault="00502026" w:rsidP="00502026">
            <w:pPr>
              <w:jc w:val="center"/>
              <w:rPr>
                <w:color w:val="000000"/>
                <w:sz w:val="22"/>
              </w:rPr>
            </w:pPr>
          </w:p>
          <w:p w:rsidR="00502026" w:rsidRPr="005E0B03" w:rsidRDefault="00502026" w:rsidP="00502026">
            <w:pPr>
              <w:jc w:val="center"/>
              <w:rPr>
                <w:color w:val="000000"/>
                <w:sz w:val="22"/>
              </w:rPr>
            </w:pPr>
          </w:p>
        </w:tc>
      </w:tr>
      <w:tr w:rsidR="00502026" w:rsidRPr="005E0B03" w:rsidTr="00D724B0">
        <w:tc>
          <w:tcPr>
            <w:tcW w:w="1818" w:type="dxa"/>
          </w:tcPr>
          <w:p w:rsidR="00502026" w:rsidRPr="005E0B03" w:rsidRDefault="00502026" w:rsidP="00502026">
            <w:pPr>
              <w:rPr>
                <w:color w:val="000000"/>
                <w:sz w:val="22"/>
              </w:rPr>
            </w:pPr>
          </w:p>
          <w:p w:rsidR="00502026" w:rsidRPr="005E0B03" w:rsidRDefault="00502026" w:rsidP="00502026">
            <w:pPr>
              <w:pStyle w:val="BodyText2"/>
              <w:spacing w:after="0" w:line="240" w:lineRule="auto"/>
              <w:rPr>
                <w:color w:val="000000"/>
                <w:sz w:val="22"/>
              </w:rPr>
            </w:pPr>
            <w:r w:rsidRPr="005E0B03">
              <w:rPr>
                <w:color w:val="000000"/>
                <w:sz w:val="22"/>
              </w:rPr>
              <w:t>Organization of the Essay</w:t>
            </w:r>
          </w:p>
          <w:p w:rsidR="00502026" w:rsidRPr="005E0B03" w:rsidRDefault="00502026" w:rsidP="00502026">
            <w:pPr>
              <w:rPr>
                <w:color w:val="000000"/>
                <w:sz w:val="22"/>
              </w:rPr>
            </w:pPr>
          </w:p>
          <w:p w:rsidR="00502026" w:rsidRPr="005E0B03" w:rsidRDefault="00502026" w:rsidP="00502026">
            <w:pPr>
              <w:rPr>
                <w:color w:val="000000"/>
                <w:sz w:val="22"/>
              </w:rPr>
            </w:pPr>
          </w:p>
        </w:tc>
        <w:tc>
          <w:tcPr>
            <w:tcW w:w="7038" w:type="dxa"/>
          </w:tcPr>
          <w:p w:rsidR="00502026" w:rsidRDefault="00502026" w:rsidP="00502026">
            <w:pPr>
              <w:jc w:val="center"/>
              <w:rPr>
                <w:color w:val="000000"/>
                <w:sz w:val="22"/>
              </w:rPr>
            </w:pPr>
          </w:p>
          <w:p w:rsidR="00502026" w:rsidRDefault="00502026" w:rsidP="00502026">
            <w:pPr>
              <w:jc w:val="center"/>
              <w:rPr>
                <w:color w:val="000000"/>
                <w:sz w:val="22"/>
              </w:rPr>
            </w:pPr>
          </w:p>
          <w:p w:rsidR="00502026" w:rsidRDefault="00502026" w:rsidP="00502026">
            <w:pPr>
              <w:jc w:val="center"/>
              <w:rPr>
                <w:color w:val="000000"/>
                <w:sz w:val="22"/>
              </w:rPr>
            </w:pPr>
          </w:p>
          <w:p w:rsidR="00502026" w:rsidRDefault="00502026" w:rsidP="00502026">
            <w:pPr>
              <w:jc w:val="center"/>
              <w:rPr>
                <w:color w:val="000000"/>
                <w:sz w:val="22"/>
              </w:rPr>
            </w:pPr>
          </w:p>
          <w:p w:rsidR="00502026" w:rsidRDefault="00502026" w:rsidP="00502026">
            <w:pPr>
              <w:jc w:val="center"/>
              <w:rPr>
                <w:color w:val="000000"/>
                <w:sz w:val="22"/>
              </w:rPr>
            </w:pPr>
          </w:p>
          <w:p w:rsidR="00502026" w:rsidRPr="005E0B03" w:rsidRDefault="00502026" w:rsidP="00502026">
            <w:pPr>
              <w:jc w:val="center"/>
              <w:rPr>
                <w:color w:val="000000"/>
                <w:sz w:val="22"/>
              </w:rPr>
            </w:pPr>
          </w:p>
        </w:tc>
      </w:tr>
      <w:tr w:rsidR="00502026" w:rsidRPr="005E0B03" w:rsidTr="00D724B0">
        <w:tc>
          <w:tcPr>
            <w:tcW w:w="1818" w:type="dxa"/>
          </w:tcPr>
          <w:p w:rsidR="00502026" w:rsidRPr="005E0B03" w:rsidRDefault="00502026" w:rsidP="00502026">
            <w:pPr>
              <w:rPr>
                <w:color w:val="000000"/>
                <w:sz w:val="22"/>
              </w:rPr>
            </w:pPr>
          </w:p>
          <w:p w:rsidR="00502026" w:rsidRPr="005E0B03" w:rsidRDefault="00502026" w:rsidP="00502026">
            <w:pPr>
              <w:pStyle w:val="Heading1"/>
              <w:rPr>
                <w:color w:val="000000"/>
                <w:sz w:val="22"/>
              </w:rPr>
            </w:pPr>
            <w:r w:rsidRPr="005E0B03">
              <w:rPr>
                <w:color w:val="000000"/>
                <w:sz w:val="22"/>
              </w:rPr>
              <w:t>Quality of evidence</w:t>
            </w:r>
          </w:p>
          <w:p w:rsidR="00502026" w:rsidRPr="005E0B03" w:rsidRDefault="00502026" w:rsidP="00502026">
            <w:pPr>
              <w:rPr>
                <w:color w:val="000000"/>
                <w:sz w:val="22"/>
              </w:rPr>
            </w:pPr>
          </w:p>
          <w:p w:rsidR="00502026" w:rsidRPr="005E0B03" w:rsidRDefault="00502026" w:rsidP="00502026">
            <w:pPr>
              <w:rPr>
                <w:color w:val="000000"/>
                <w:sz w:val="22"/>
              </w:rPr>
            </w:pPr>
          </w:p>
          <w:p w:rsidR="00502026" w:rsidRPr="005E0B03" w:rsidRDefault="00502026" w:rsidP="00502026">
            <w:pPr>
              <w:rPr>
                <w:color w:val="000000"/>
                <w:sz w:val="22"/>
              </w:rPr>
            </w:pPr>
          </w:p>
        </w:tc>
        <w:tc>
          <w:tcPr>
            <w:tcW w:w="7038" w:type="dxa"/>
          </w:tcPr>
          <w:p w:rsidR="00502026" w:rsidRPr="005E0B03" w:rsidRDefault="00502026" w:rsidP="00502026">
            <w:pPr>
              <w:jc w:val="center"/>
              <w:rPr>
                <w:color w:val="000000"/>
                <w:sz w:val="22"/>
              </w:rPr>
            </w:pPr>
          </w:p>
        </w:tc>
      </w:tr>
      <w:tr w:rsidR="00502026" w:rsidRPr="005E0B03" w:rsidTr="00D724B0">
        <w:tc>
          <w:tcPr>
            <w:tcW w:w="1818" w:type="dxa"/>
          </w:tcPr>
          <w:p w:rsidR="00502026" w:rsidRPr="005E0B03" w:rsidRDefault="00502026" w:rsidP="00502026">
            <w:pPr>
              <w:rPr>
                <w:color w:val="000000"/>
                <w:sz w:val="22"/>
              </w:rPr>
            </w:pPr>
          </w:p>
          <w:p w:rsidR="00502026" w:rsidRPr="005E0B03" w:rsidRDefault="00502026" w:rsidP="00502026">
            <w:pPr>
              <w:pStyle w:val="BodyText2"/>
              <w:spacing w:after="0" w:line="240" w:lineRule="auto"/>
              <w:rPr>
                <w:color w:val="000000"/>
                <w:sz w:val="22"/>
              </w:rPr>
            </w:pPr>
            <w:r w:rsidRPr="005E0B03">
              <w:rPr>
                <w:color w:val="000000"/>
                <w:sz w:val="22"/>
              </w:rPr>
              <w:t>Communication Skills</w:t>
            </w:r>
          </w:p>
          <w:p w:rsidR="00502026" w:rsidRPr="005E0B03" w:rsidRDefault="00502026" w:rsidP="00502026">
            <w:pPr>
              <w:rPr>
                <w:color w:val="000000"/>
                <w:sz w:val="22"/>
              </w:rPr>
            </w:pPr>
          </w:p>
          <w:p w:rsidR="00502026" w:rsidRPr="005E0B03" w:rsidRDefault="00502026" w:rsidP="00502026">
            <w:pPr>
              <w:rPr>
                <w:color w:val="000000"/>
                <w:sz w:val="22"/>
              </w:rPr>
            </w:pPr>
          </w:p>
        </w:tc>
        <w:tc>
          <w:tcPr>
            <w:tcW w:w="7038" w:type="dxa"/>
          </w:tcPr>
          <w:p w:rsidR="00502026" w:rsidRPr="005E0B03" w:rsidRDefault="00502026" w:rsidP="00502026">
            <w:pPr>
              <w:jc w:val="center"/>
              <w:rPr>
                <w:color w:val="000000"/>
                <w:sz w:val="22"/>
              </w:rPr>
            </w:pPr>
          </w:p>
          <w:p w:rsidR="00502026" w:rsidRPr="005E0B03" w:rsidRDefault="00502026" w:rsidP="00502026">
            <w:pPr>
              <w:jc w:val="center"/>
              <w:rPr>
                <w:color w:val="000000"/>
                <w:sz w:val="22"/>
              </w:rPr>
            </w:pPr>
          </w:p>
          <w:p w:rsidR="00502026" w:rsidRPr="005E0B03" w:rsidRDefault="00502026" w:rsidP="00502026">
            <w:pPr>
              <w:jc w:val="center"/>
              <w:rPr>
                <w:color w:val="000000"/>
                <w:sz w:val="22"/>
              </w:rPr>
            </w:pPr>
          </w:p>
          <w:p w:rsidR="00502026" w:rsidRPr="005E0B03" w:rsidRDefault="00502026" w:rsidP="00502026">
            <w:pPr>
              <w:jc w:val="center"/>
              <w:rPr>
                <w:color w:val="000000"/>
                <w:sz w:val="22"/>
              </w:rPr>
            </w:pPr>
          </w:p>
          <w:p w:rsidR="00502026" w:rsidRPr="005E0B03" w:rsidRDefault="00502026" w:rsidP="00502026">
            <w:pPr>
              <w:jc w:val="center"/>
              <w:rPr>
                <w:color w:val="000000"/>
                <w:sz w:val="22"/>
              </w:rPr>
            </w:pPr>
          </w:p>
          <w:p w:rsidR="00502026" w:rsidRPr="005E0B03" w:rsidRDefault="00502026" w:rsidP="00502026">
            <w:pPr>
              <w:jc w:val="center"/>
              <w:rPr>
                <w:color w:val="000000"/>
                <w:sz w:val="22"/>
              </w:rPr>
            </w:pPr>
          </w:p>
        </w:tc>
      </w:tr>
      <w:tr w:rsidR="00502026" w:rsidRPr="005E0B03" w:rsidTr="00D724B0">
        <w:tc>
          <w:tcPr>
            <w:tcW w:w="1818" w:type="dxa"/>
          </w:tcPr>
          <w:p w:rsidR="00502026" w:rsidRPr="005E0B03" w:rsidRDefault="00502026" w:rsidP="00502026">
            <w:pPr>
              <w:rPr>
                <w:color w:val="000000"/>
                <w:sz w:val="22"/>
              </w:rPr>
            </w:pPr>
          </w:p>
          <w:p w:rsidR="00502026" w:rsidRPr="005E0B03" w:rsidRDefault="00502026" w:rsidP="00502026">
            <w:pPr>
              <w:pStyle w:val="BodyText2"/>
              <w:spacing w:after="0" w:line="240" w:lineRule="auto"/>
              <w:rPr>
                <w:color w:val="000000"/>
                <w:sz w:val="22"/>
              </w:rPr>
            </w:pPr>
            <w:r w:rsidRPr="005E0B03">
              <w:rPr>
                <w:color w:val="000000"/>
                <w:sz w:val="22"/>
              </w:rPr>
              <w:t>Use of quotations and footnotes</w:t>
            </w:r>
          </w:p>
          <w:p w:rsidR="00502026" w:rsidRPr="005E0B03" w:rsidRDefault="00502026" w:rsidP="00502026">
            <w:pPr>
              <w:pStyle w:val="BodyText2"/>
              <w:spacing w:after="0" w:line="240" w:lineRule="auto"/>
              <w:rPr>
                <w:color w:val="000000"/>
                <w:sz w:val="22"/>
              </w:rPr>
            </w:pPr>
          </w:p>
          <w:p w:rsidR="00502026" w:rsidRPr="005E0B03" w:rsidRDefault="00502026" w:rsidP="00502026">
            <w:pPr>
              <w:rPr>
                <w:color w:val="000000"/>
                <w:sz w:val="22"/>
              </w:rPr>
            </w:pPr>
          </w:p>
        </w:tc>
        <w:tc>
          <w:tcPr>
            <w:tcW w:w="7038" w:type="dxa"/>
          </w:tcPr>
          <w:p w:rsidR="00502026" w:rsidRDefault="00502026" w:rsidP="00502026">
            <w:pPr>
              <w:jc w:val="center"/>
              <w:rPr>
                <w:color w:val="000000"/>
                <w:sz w:val="22"/>
              </w:rPr>
            </w:pPr>
          </w:p>
          <w:p w:rsidR="00502026" w:rsidRDefault="00502026" w:rsidP="00502026">
            <w:pPr>
              <w:jc w:val="center"/>
              <w:rPr>
                <w:color w:val="000000"/>
                <w:sz w:val="22"/>
              </w:rPr>
            </w:pPr>
          </w:p>
          <w:p w:rsidR="00D724B0" w:rsidRDefault="00D724B0" w:rsidP="00502026">
            <w:pPr>
              <w:jc w:val="center"/>
              <w:rPr>
                <w:color w:val="000000"/>
                <w:sz w:val="22"/>
              </w:rPr>
            </w:pPr>
          </w:p>
          <w:p w:rsidR="00D724B0" w:rsidRDefault="00D724B0" w:rsidP="00502026">
            <w:pPr>
              <w:jc w:val="center"/>
              <w:rPr>
                <w:color w:val="000000"/>
                <w:sz w:val="22"/>
              </w:rPr>
            </w:pPr>
          </w:p>
          <w:p w:rsidR="00D724B0" w:rsidRDefault="00D724B0" w:rsidP="00502026">
            <w:pPr>
              <w:jc w:val="center"/>
              <w:rPr>
                <w:color w:val="000000"/>
                <w:sz w:val="22"/>
              </w:rPr>
            </w:pPr>
          </w:p>
          <w:p w:rsidR="00D724B0" w:rsidRPr="005E0B03" w:rsidRDefault="00D724B0" w:rsidP="00502026">
            <w:pPr>
              <w:jc w:val="center"/>
              <w:rPr>
                <w:color w:val="000000"/>
                <w:sz w:val="22"/>
              </w:rPr>
            </w:pPr>
          </w:p>
        </w:tc>
      </w:tr>
      <w:tr w:rsidR="00502026" w:rsidRPr="005E0B03" w:rsidTr="00D724B0">
        <w:tc>
          <w:tcPr>
            <w:tcW w:w="1818" w:type="dxa"/>
          </w:tcPr>
          <w:p w:rsidR="00502026" w:rsidRPr="005E0B03" w:rsidRDefault="00502026" w:rsidP="00502026">
            <w:pPr>
              <w:jc w:val="center"/>
              <w:rPr>
                <w:color w:val="000000"/>
                <w:sz w:val="22"/>
              </w:rPr>
            </w:pPr>
          </w:p>
          <w:p w:rsidR="00502026" w:rsidRPr="005E0B03" w:rsidRDefault="00502026" w:rsidP="00502026">
            <w:pPr>
              <w:pStyle w:val="Heading1"/>
              <w:rPr>
                <w:color w:val="000000"/>
                <w:sz w:val="22"/>
              </w:rPr>
            </w:pPr>
            <w:r w:rsidRPr="005E0B03">
              <w:rPr>
                <w:color w:val="000000"/>
                <w:sz w:val="22"/>
              </w:rPr>
              <w:t>Creativity</w:t>
            </w:r>
          </w:p>
          <w:p w:rsidR="00502026" w:rsidRPr="005E0B03" w:rsidRDefault="00502026" w:rsidP="00502026">
            <w:pPr>
              <w:rPr>
                <w:color w:val="000000"/>
                <w:sz w:val="22"/>
              </w:rPr>
            </w:pPr>
          </w:p>
          <w:p w:rsidR="00502026" w:rsidRPr="005E0B03" w:rsidRDefault="00502026" w:rsidP="00502026">
            <w:pPr>
              <w:rPr>
                <w:color w:val="000000"/>
                <w:sz w:val="22"/>
              </w:rPr>
            </w:pPr>
          </w:p>
          <w:p w:rsidR="00502026" w:rsidRPr="005E0B03" w:rsidRDefault="00502026" w:rsidP="00502026">
            <w:pPr>
              <w:rPr>
                <w:color w:val="000000"/>
                <w:sz w:val="22"/>
              </w:rPr>
            </w:pPr>
          </w:p>
        </w:tc>
        <w:tc>
          <w:tcPr>
            <w:tcW w:w="7038" w:type="dxa"/>
          </w:tcPr>
          <w:p w:rsidR="00502026" w:rsidRDefault="00502026" w:rsidP="00502026">
            <w:pPr>
              <w:jc w:val="center"/>
              <w:rPr>
                <w:color w:val="000000"/>
                <w:sz w:val="22"/>
              </w:rPr>
            </w:pPr>
          </w:p>
          <w:p w:rsidR="00D724B0" w:rsidRDefault="00D724B0" w:rsidP="00502026">
            <w:pPr>
              <w:jc w:val="center"/>
              <w:rPr>
                <w:color w:val="000000"/>
                <w:sz w:val="22"/>
              </w:rPr>
            </w:pPr>
          </w:p>
          <w:p w:rsidR="00D724B0" w:rsidRDefault="00D724B0" w:rsidP="00502026">
            <w:pPr>
              <w:jc w:val="center"/>
              <w:rPr>
                <w:color w:val="000000"/>
                <w:sz w:val="22"/>
              </w:rPr>
            </w:pPr>
          </w:p>
          <w:p w:rsidR="00D724B0" w:rsidRDefault="00D724B0" w:rsidP="00502026">
            <w:pPr>
              <w:jc w:val="center"/>
              <w:rPr>
                <w:color w:val="000000"/>
                <w:sz w:val="22"/>
              </w:rPr>
            </w:pPr>
          </w:p>
          <w:p w:rsidR="00D724B0" w:rsidRDefault="00D724B0" w:rsidP="00502026">
            <w:pPr>
              <w:jc w:val="center"/>
              <w:rPr>
                <w:color w:val="000000"/>
                <w:sz w:val="22"/>
              </w:rPr>
            </w:pPr>
          </w:p>
          <w:p w:rsidR="00D724B0" w:rsidRPr="005E0B03" w:rsidRDefault="00D724B0" w:rsidP="00502026">
            <w:pPr>
              <w:jc w:val="center"/>
              <w:rPr>
                <w:color w:val="000000"/>
                <w:sz w:val="22"/>
              </w:rPr>
            </w:pPr>
          </w:p>
        </w:tc>
      </w:tr>
      <w:tr w:rsidR="00502026" w:rsidRPr="005E0B03" w:rsidTr="00D724B0">
        <w:tc>
          <w:tcPr>
            <w:tcW w:w="1818" w:type="dxa"/>
          </w:tcPr>
          <w:p w:rsidR="00502026" w:rsidRPr="005E0B03" w:rsidRDefault="00502026" w:rsidP="00502026">
            <w:pPr>
              <w:jc w:val="center"/>
              <w:rPr>
                <w:color w:val="000000"/>
                <w:sz w:val="22"/>
              </w:rPr>
            </w:pPr>
          </w:p>
          <w:p w:rsidR="00502026" w:rsidRPr="005E0B03" w:rsidRDefault="00502026" w:rsidP="00502026">
            <w:pPr>
              <w:pStyle w:val="Heading1"/>
              <w:rPr>
                <w:color w:val="000000"/>
                <w:sz w:val="22"/>
              </w:rPr>
            </w:pPr>
            <w:r w:rsidRPr="005E0B03">
              <w:rPr>
                <w:color w:val="000000"/>
                <w:sz w:val="22"/>
              </w:rPr>
              <w:t>Other Comments</w:t>
            </w:r>
          </w:p>
          <w:p w:rsidR="00502026" w:rsidRPr="005E0B03" w:rsidRDefault="00502026" w:rsidP="00502026">
            <w:pPr>
              <w:rPr>
                <w:color w:val="000000"/>
                <w:sz w:val="22"/>
              </w:rPr>
            </w:pPr>
          </w:p>
          <w:p w:rsidR="00502026" w:rsidRPr="005E0B03" w:rsidRDefault="00502026" w:rsidP="00502026">
            <w:pPr>
              <w:rPr>
                <w:color w:val="000000"/>
                <w:sz w:val="22"/>
              </w:rPr>
            </w:pPr>
          </w:p>
          <w:p w:rsidR="00502026" w:rsidRPr="005E0B03" w:rsidRDefault="00502026" w:rsidP="00502026">
            <w:pPr>
              <w:rPr>
                <w:color w:val="000000"/>
                <w:sz w:val="22"/>
              </w:rPr>
            </w:pPr>
          </w:p>
        </w:tc>
        <w:tc>
          <w:tcPr>
            <w:tcW w:w="7038" w:type="dxa"/>
          </w:tcPr>
          <w:p w:rsidR="00502026" w:rsidRDefault="00502026" w:rsidP="00502026">
            <w:pPr>
              <w:jc w:val="center"/>
              <w:rPr>
                <w:color w:val="000000"/>
                <w:sz w:val="22"/>
              </w:rPr>
            </w:pPr>
          </w:p>
          <w:p w:rsidR="00D724B0" w:rsidRDefault="00D724B0" w:rsidP="00502026">
            <w:pPr>
              <w:jc w:val="center"/>
              <w:rPr>
                <w:color w:val="000000"/>
                <w:sz w:val="22"/>
              </w:rPr>
            </w:pPr>
          </w:p>
          <w:p w:rsidR="00D724B0" w:rsidRDefault="00D724B0" w:rsidP="00502026">
            <w:pPr>
              <w:jc w:val="center"/>
              <w:rPr>
                <w:color w:val="000000"/>
                <w:sz w:val="22"/>
              </w:rPr>
            </w:pPr>
          </w:p>
          <w:p w:rsidR="00D724B0" w:rsidRDefault="00D724B0" w:rsidP="00502026">
            <w:pPr>
              <w:jc w:val="center"/>
              <w:rPr>
                <w:color w:val="000000"/>
                <w:sz w:val="22"/>
              </w:rPr>
            </w:pPr>
          </w:p>
          <w:p w:rsidR="00D724B0" w:rsidRDefault="00D724B0" w:rsidP="00502026">
            <w:pPr>
              <w:jc w:val="center"/>
              <w:rPr>
                <w:color w:val="000000"/>
                <w:sz w:val="22"/>
              </w:rPr>
            </w:pPr>
          </w:p>
          <w:p w:rsidR="00D724B0" w:rsidRPr="005E0B03" w:rsidRDefault="00D724B0" w:rsidP="00502026">
            <w:pPr>
              <w:jc w:val="center"/>
              <w:rPr>
                <w:color w:val="000000"/>
                <w:sz w:val="22"/>
              </w:rPr>
            </w:pPr>
          </w:p>
        </w:tc>
      </w:tr>
      <w:tr w:rsidR="00502026" w:rsidRPr="005E0B03" w:rsidTr="00D724B0">
        <w:tc>
          <w:tcPr>
            <w:tcW w:w="1818" w:type="dxa"/>
          </w:tcPr>
          <w:p w:rsidR="00502026" w:rsidRPr="005E0B03" w:rsidRDefault="00502026" w:rsidP="00502026">
            <w:pPr>
              <w:jc w:val="center"/>
              <w:rPr>
                <w:color w:val="000000"/>
                <w:sz w:val="22"/>
              </w:rPr>
            </w:pPr>
          </w:p>
          <w:p w:rsidR="00502026" w:rsidRPr="005E0B03" w:rsidRDefault="00502026" w:rsidP="00502026">
            <w:pPr>
              <w:pStyle w:val="Heading1"/>
              <w:rPr>
                <w:color w:val="000000"/>
                <w:sz w:val="22"/>
              </w:rPr>
            </w:pPr>
            <w:r w:rsidRPr="005E0B03">
              <w:rPr>
                <w:color w:val="000000"/>
                <w:sz w:val="22"/>
              </w:rPr>
              <w:t>Grade</w:t>
            </w:r>
          </w:p>
          <w:p w:rsidR="00502026" w:rsidRPr="005E0B03" w:rsidRDefault="00502026" w:rsidP="00502026">
            <w:pPr>
              <w:rPr>
                <w:color w:val="000000"/>
                <w:sz w:val="22"/>
              </w:rPr>
            </w:pPr>
          </w:p>
        </w:tc>
        <w:tc>
          <w:tcPr>
            <w:tcW w:w="7038" w:type="dxa"/>
          </w:tcPr>
          <w:p w:rsidR="00502026" w:rsidRPr="005E0B03" w:rsidRDefault="00502026" w:rsidP="00502026">
            <w:pPr>
              <w:jc w:val="center"/>
              <w:rPr>
                <w:color w:val="000000"/>
                <w:sz w:val="22"/>
              </w:rPr>
            </w:pPr>
          </w:p>
        </w:tc>
      </w:tr>
    </w:tbl>
    <w:p w:rsidR="00502026" w:rsidRPr="005E0B03" w:rsidRDefault="00502026" w:rsidP="00D724B0">
      <w:pPr>
        <w:jc w:val="center"/>
        <w:rPr>
          <w:color w:val="000000"/>
          <w:sz w:val="22"/>
        </w:rPr>
      </w:pPr>
    </w:p>
    <w:sectPr w:rsidR="00502026" w:rsidRPr="005E0B03">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5A8" w:rsidRDefault="000805A8" w:rsidP="00916E95">
      <w:r>
        <w:separator/>
      </w:r>
    </w:p>
  </w:endnote>
  <w:endnote w:type="continuationSeparator" w:id="0">
    <w:p w:rsidR="000805A8" w:rsidRDefault="000805A8" w:rsidP="0091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dvP42FAA2">
    <w:panose1 w:val="00000000000000000000"/>
    <w:charset w:val="00"/>
    <w:family w:val="swiss"/>
    <w:notTrueType/>
    <w:pitch w:val="default"/>
    <w:sig w:usb0="00000003" w:usb1="00000000" w:usb2="00000000" w:usb3="00000000" w:csb0="00000001" w:csb1="00000000"/>
  </w:font>
  <w:font w:name="AdvP449CFA">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1476798"/>
      <w:docPartObj>
        <w:docPartGallery w:val="Page Numbers (Bottom of Page)"/>
        <w:docPartUnique/>
      </w:docPartObj>
    </w:sdtPr>
    <w:sdtEndPr>
      <w:rPr>
        <w:noProof/>
      </w:rPr>
    </w:sdtEndPr>
    <w:sdtContent>
      <w:p w:rsidR="00D724B0" w:rsidRDefault="00D724B0">
        <w:pPr>
          <w:pStyle w:val="Footer"/>
          <w:jc w:val="center"/>
        </w:pPr>
        <w:r>
          <w:fldChar w:fldCharType="begin"/>
        </w:r>
        <w:r>
          <w:instrText xml:space="preserve"> PAGE   \* MERGEFORMAT </w:instrText>
        </w:r>
        <w:r>
          <w:fldChar w:fldCharType="separate"/>
        </w:r>
        <w:r w:rsidR="00055B13">
          <w:rPr>
            <w:noProof/>
          </w:rPr>
          <w:t>1</w:t>
        </w:r>
        <w:r>
          <w:rPr>
            <w:noProof/>
          </w:rPr>
          <w:fldChar w:fldCharType="end"/>
        </w:r>
      </w:p>
    </w:sdtContent>
  </w:sdt>
  <w:p w:rsidR="00D724B0" w:rsidRDefault="00D724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5A8" w:rsidRDefault="000805A8" w:rsidP="00916E95">
      <w:r>
        <w:separator/>
      </w:r>
    </w:p>
  </w:footnote>
  <w:footnote w:type="continuationSeparator" w:id="0">
    <w:p w:rsidR="000805A8" w:rsidRDefault="000805A8" w:rsidP="00916E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E7923"/>
    <w:multiLevelType w:val="hybridMultilevel"/>
    <w:tmpl w:val="4C1091FA"/>
    <w:lvl w:ilvl="0" w:tplc="B76AD5C4">
      <w:start w:val="1"/>
      <w:numFmt w:val="lowerLetter"/>
      <w:lvlText w:val="%1)"/>
      <w:lvlJc w:val="left"/>
      <w:pPr>
        <w:ind w:left="760" w:hanging="40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7CA"/>
    <w:rsid w:val="00055B13"/>
    <w:rsid w:val="00076E1F"/>
    <w:rsid w:val="000805A8"/>
    <w:rsid w:val="001A54BF"/>
    <w:rsid w:val="001D6124"/>
    <w:rsid w:val="00337C43"/>
    <w:rsid w:val="003D67CA"/>
    <w:rsid w:val="004618E0"/>
    <w:rsid w:val="0047370C"/>
    <w:rsid w:val="00502026"/>
    <w:rsid w:val="00543B2C"/>
    <w:rsid w:val="00547889"/>
    <w:rsid w:val="006C3479"/>
    <w:rsid w:val="0079135E"/>
    <w:rsid w:val="008522B0"/>
    <w:rsid w:val="008D3F3A"/>
    <w:rsid w:val="00916E95"/>
    <w:rsid w:val="00967081"/>
    <w:rsid w:val="009C2BEA"/>
    <w:rsid w:val="00A020D6"/>
    <w:rsid w:val="00A70383"/>
    <w:rsid w:val="00AF27FF"/>
    <w:rsid w:val="00C5309A"/>
    <w:rsid w:val="00CE128E"/>
    <w:rsid w:val="00D5692D"/>
    <w:rsid w:val="00D724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16552-D3E7-4E8C-B410-AE1A5F2A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7CA"/>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02026"/>
    <w:pPr>
      <w:keepNext/>
      <w:outlineLvl w:val="0"/>
    </w:pPr>
    <w:rPr>
      <w:szCs w:val="20"/>
      <w:lang w:val="en-CA"/>
    </w:rPr>
  </w:style>
  <w:style w:type="paragraph" w:styleId="Heading3">
    <w:name w:val="heading 3"/>
    <w:basedOn w:val="Normal"/>
    <w:next w:val="Normal"/>
    <w:link w:val="Heading3Char"/>
    <w:qFormat/>
    <w:rsid w:val="00502026"/>
    <w:pPr>
      <w:keepNext/>
      <w:jc w:val="center"/>
      <w:outlineLvl w:val="2"/>
    </w:pPr>
    <w:rPr>
      <w:b/>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D67CA"/>
    <w:pPr>
      <w:jc w:val="center"/>
    </w:pPr>
    <w:rPr>
      <w:szCs w:val="20"/>
      <w:lang w:val="en-CA"/>
    </w:rPr>
  </w:style>
  <w:style w:type="character" w:customStyle="1" w:styleId="TitleChar">
    <w:name w:val="Title Char"/>
    <w:basedOn w:val="DefaultParagraphFont"/>
    <w:link w:val="Title"/>
    <w:rsid w:val="003D67CA"/>
    <w:rPr>
      <w:rFonts w:ascii="Times New Roman" w:eastAsia="Times New Roman" w:hAnsi="Times New Roman" w:cs="Times New Roman"/>
      <w:sz w:val="24"/>
      <w:szCs w:val="20"/>
    </w:rPr>
  </w:style>
  <w:style w:type="paragraph" w:styleId="BodyText">
    <w:name w:val="Body Text"/>
    <w:basedOn w:val="Normal"/>
    <w:link w:val="BodyTextChar"/>
    <w:semiHidden/>
    <w:rsid w:val="00916E95"/>
    <w:pPr>
      <w:spacing w:after="240"/>
      <w:ind w:left="1080"/>
    </w:pPr>
    <w:rPr>
      <w:rFonts w:ascii="Arial" w:hAnsi="Arial"/>
      <w:sz w:val="22"/>
      <w:szCs w:val="20"/>
      <w:lang w:val="en-CA"/>
    </w:rPr>
  </w:style>
  <w:style w:type="character" w:customStyle="1" w:styleId="BodyTextChar">
    <w:name w:val="Body Text Char"/>
    <w:basedOn w:val="DefaultParagraphFont"/>
    <w:link w:val="BodyText"/>
    <w:semiHidden/>
    <w:rsid w:val="00916E95"/>
    <w:rPr>
      <w:rFonts w:ascii="Arial" w:eastAsia="Times New Roman" w:hAnsi="Arial" w:cs="Times New Roman"/>
      <w:szCs w:val="20"/>
    </w:rPr>
  </w:style>
  <w:style w:type="paragraph" w:customStyle="1" w:styleId="Default">
    <w:name w:val="Default"/>
    <w:rsid w:val="00916E95"/>
    <w:pPr>
      <w:autoSpaceDE w:val="0"/>
      <w:autoSpaceDN w:val="0"/>
      <w:adjustRightInd w:val="0"/>
    </w:pPr>
    <w:rPr>
      <w:rFonts w:ascii="Calibri" w:eastAsia="Calibri" w:hAnsi="Calibri" w:cs="Calibri"/>
      <w:color w:val="000000"/>
      <w:sz w:val="24"/>
      <w:szCs w:val="24"/>
    </w:rPr>
  </w:style>
  <w:style w:type="paragraph" w:styleId="Header">
    <w:name w:val="header"/>
    <w:basedOn w:val="Normal"/>
    <w:link w:val="HeaderChar"/>
    <w:rsid w:val="00916E95"/>
    <w:pPr>
      <w:tabs>
        <w:tab w:val="center" w:pos="4320"/>
        <w:tab w:val="right" w:pos="8640"/>
      </w:tabs>
    </w:pPr>
    <w:rPr>
      <w:lang w:val="en-CA"/>
    </w:rPr>
  </w:style>
  <w:style w:type="character" w:customStyle="1" w:styleId="HeaderChar">
    <w:name w:val="Header Char"/>
    <w:basedOn w:val="DefaultParagraphFont"/>
    <w:link w:val="Header"/>
    <w:rsid w:val="00916E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6E95"/>
    <w:pPr>
      <w:tabs>
        <w:tab w:val="center" w:pos="4680"/>
        <w:tab w:val="right" w:pos="9360"/>
      </w:tabs>
    </w:pPr>
  </w:style>
  <w:style w:type="character" w:customStyle="1" w:styleId="FooterChar">
    <w:name w:val="Footer Char"/>
    <w:basedOn w:val="DefaultParagraphFont"/>
    <w:link w:val="Footer"/>
    <w:uiPriority w:val="99"/>
    <w:rsid w:val="00916E95"/>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rsid w:val="00A020D6"/>
    <w:rPr>
      <w:sz w:val="20"/>
      <w:szCs w:val="20"/>
      <w:lang w:val="en-CA"/>
    </w:rPr>
  </w:style>
  <w:style w:type="character" w:customStyle="1" w:styleId="FootnoteTextChar">
    <w:name w:val="Footnote Text Char"/>
    <w:basedOn w:val="DefaultParagraphFont"/>
    <w:link w:val="FootnoteText"/>
    <w:semiHidden/>
    <w:rsid w:val="00A020D6"/>
    <w:rPr>
      <w:rFonts w:ascii="Times New Roman" w:eastAsia="Times New Roman" w:hAnsi="Times New Roman" w:cs="Times New Roman"/>
      <w:sz w:val="20"/>
      <w:szCs w:val="20"/>
    </w:rPr>
  </w:style>
  <w:style w:type="character" w:customStyle="1" w:styleId="cit-first-page">
    <w:name w:val="cit-first-page"/>
    <w:basedOn w:val="DefaultParagraphFont"/>
    <w:rsid w:val="00A020D6"/>
  </w:style>
  <w:style w:type="character" w:customStyle="1" w:styleId="cit-sep">
    <w:name w:val="cit-sep"/>
    <w:basedOn w:val="DefaultParagraphFont"/>
    <w:rsid w:val="00A020D6"/>
  </w:style>
  <w:style w:type="character" w:customStyle="1" w:styleId="cit-last-page">
    <w:name w:val="cit-last-page"/>
    <w:basedOn w:val="DefaultParagraphFont"/>
    <w:rsid w:val="00A020D6"/>
  </w:style>
  <w:style w:type="paragraph" w:styleId="HTMLPreformatted">
    <w:name w:val="HTML Preformatted"/>
    <w:basedOn w:val="Normal"/>
    <w:link w:val="HTMLPreformattedChar"/>
    <w:uiPriority w:val="99"/>
    <w:semiHidden/>
    <w:unhideWhenUsed/>
    <w:rsid w:val="00473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47370C"/>
    <w:rPr>
      <w:rFonts w:ascii="Courier New" w:eastAsia="Times New Roman" w:hAnsi="Courier New" w:cs="Courier New"/>
      <w:sz w:val="20"/>
      <w:szCs w:val="20"/>
      <w:lang w:eastAsia="en-CA"/>
    </w:rPr>
  </w:style>
  <w:style w:type="paragraph" w:styleId="NormalWeb">
    <w:name w:val="Normal (Web)"/>
    <w:basedOn w:val="Normal"/>
    <w:rsid w:val="00543B2C"/>
    <w:pPr>
      <w:spacing w:before="100" w:beforeAutospacing="1" w:after="100" w:afterAutospacing="1"/>
    </w:pPr>
    <w:rPr>
      <w:lang w:val="en-CA" w:eastAsia="en-CA"/>
    </w:rPr>
  </w:style>
  <w:style w:type="character" w:styleId="Emphasis">
    <w:name w:val="Emphasis"/>
    <w:basedOn w:val="DefaultParagraphFont"/>
    <w:uiPriority w:val="20"/>
    <w:qFormat/>
    <w:rsid w:val="00543B2C"/>
    <w:rPr>
      <w:i/>
      <w:iCs/>
    </w:rPr>
  </w:style>
  <w:style w:type="character" w:customStyle="1" w:styleId="style4">
    <w:name w:val="style4"/>
    <w:basedOn w:val="DefaultParagraphFont"/>
    <w:rsid w:val="00543B2C"/>
  </w:style>
  <w:style w:type="paragraph" w:styleId="BodyText2">
    <w:name w:val="Body Text 2"/>
    <w:basedOn w:val="Normal"/>
    <w:link w:val="BodyText2Char"/>
    <w:uiPriority w:val="99"/>
    <w:semiHidden/>
    <w:unhideWhenUsed/>
    <w:rsid w:val="00502026"/>
    <w:pPr>
      <w:spacing w:after="120" w:line="480" w:lineRule="auto"/>
    </w:pPr>
  </w:style>
  <w:style w:type="character" w:customStyle="1" w:styleId="BodyText2Char">
    <w:name w:val="Body Text 2 Char"/>
    <w:basedOn w:val="DefaultParagraphFont"/>
    <w:link w:val="BodyText2"/>
    <w:uiPriority w:val="99"/>
    <w:semiHidden/>
    <w:rsid w:val="00502026"/>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502026"/>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502026"/>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D724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4B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987460">
      <w:bodyDiv w:val="1"/>
      <w:marLeft w:val="0"/>
      <w:marRight w:val="0"/>
      <w:marTop w:val="0"/>
      <w:marBottom w:val="0"/>
      <w:divBdr>
        <w:top w:val="none" w:sz="0" w:space="0" w:color="auto"/>
        <w:left w:val="none" w:sz="0" w:space="0" w:color="auto"/>
        <w:bottom w:val="none" w:sz="0" w:space="0" w:color="auto"/>
        <w:right w:val="none" w:sz="0" w:space="0" w:color="auto"/>
      </w:divBdr>
      <w:divsChild>
        <w:div w:id="61104053">
          <w:marLeft w:val="0"/>
          <w:marRight w:val="0"/>
          <w:marTop w:val="0"/>
          <w:marBottom w:val="0"/>
          <w:divBdr>
            <w:top w:val="none" w:sz="0" w:space="0" w:color="auto"/>
            <w:left w:val="none" w:sz="0" w:space="0" w:color="auto"/>
            <w:bottom w:val="none" w:sz="0" w:space="0" w:color="auto"/>
            <w:right w:val="none" w:sz="0" w:space="0" w:color="auto"/>
          </w:divBdr>
        </w:div>
      </w:divsChild>
    </w:div>
    <w:div w:id="1240947032">
      <w:bodyDiv w:val="1"/>
      <w:marLeft w:val="0"/>
      <w:marRight w:val="0"/>
      <w:marTop w:val="0"/>
      <w:marBottom w:val="0"/>
      <w:divBdr>
        <w:top w:val="none" w:sz="0" w:space="0" w:color="auto"/>
        <w:left w:val="none" w:sz="0" w:space="0" w:color="auto"/>
        <w:bottom w:val="none" w:sz="0" w:space="0" w:color="auto"/>
        <w:right w:val="none" w:sz="0" w:space="0" w:color="auto"/>
      </w:divBdr>
    </w:div>
    <w:div w:id="1305156390">
      <w:bodyDiv w:val="1"/>
      <w:marLeft w:val="0"/>
      <w:marRight w:val="0"/>
      <w:marTop w:val="0"/>
      <w:marBottom w:val="0"/>
      <w:divBdr>
        <w:top w:val="none" w:sz="0" w:space="0" w:color="auto"/>
        <w:left w:val="none" w:sz="0" w:space="0" w:color="auto"/>
        <w:bottom w:val="none" w:sz="0" w:space="0" w:color="auto"/>
        <w:right w:val="none" w:sz="0" w:space="0" w:color="auto"/>
      </w:divBdr>
      <w:divsChild>
        <w:div w:id="1547137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3663</Words>
  <Characters>20882</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Quinn</dc:creator>
  <cp:keywords/>
  <dc:description/>
  <cp:lastModifiedBy>Teresa McLauchlan</cp:lastModifiedBy>
  <cp:revision>2</cp:revision>
  <cp:lastPrinted>2016-12-13T22:58:00Z</cp:lastPrinted>
  <dcterms:created xsi:type="dcterms:W3CDTF">2017-01-04T16:59:00Z</dcterms:created>
  <dcterms:modified xsi:type="dcterms:W3CDTF">2017-01-04T16:59:00Z</dcterms:modified>
</cp:coreProperties>
</file>